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აქტი, რომელიც არ უნდა გადაწერო</w:t>
      </w:r>
    </w:p>
    <w:p>
      <w:pPr>
        <w:pStyle w:val="Subtitle"/>
      </w:pPr>
      <w:r>
        <w:rPr>
          <w:lang w:val="ka"/>
        </w:rPr>
        <w:t xml:space="preserve">ევროკავშირის სამართალი · კვირა 6 · დარიგება — სამართლის წყაროები და მათი იერარქია</w:t>
      </w:r>
    </w:p>
    <w:p>
      <w:pPr>
        <w:pStyle w:val="Author"/>
      </w:pPr>
      <w:r>
        <w:rPr>
          <w:lang w:val="ka"/>
        </w:rPr>
        <w:t xml:space="preserve">გიორგი კობერიძე · ილიას სახელმწიფო უნივერსიტეტი</w:t>
      </w:r>
    </w:p>
    <w:p>
      <w:pPr>
        <w:pStyle w:val="BlockText"/>
      </w:pPr>
      <w:r>
        <w:rPr>
          <w:lang w:val="ka"/>
        </w:rPr>
        <w:t xml:space="preserve">📘</w:t>
      </w:r>
      <w:r>
        <w:rPr>
          <w:lang w:val="ka"/>
        </w:rPr>
        <w:t xml:space="preserve"> </w:t>
      </w:r>
      <w:r>
        <w:rPr>
          <w:b/>
          <w:bCs/>
          <w:lang w:val="ka"/>
        </w:rPr>
        <w:t xml:space="preserve">როგორ ვიმუშაოთ ამ კვირაში:</w:t>
      </w:r>
      <w:r>
        <w:rPr>
          <w:lang w:val="ka"/>
        </w:rPr>
        <w:t xml:space="preserve"> </w:t>
      </w:r>
      <w:r>
        <w:rPr>
          <w:lang w:val="ka"/>
        </w:rPr>
        <w:t xml:space="preserve">ცხრილები და კითხვა-პასუხი —</w:t>
      </w:r>
      <w:r>
        <w:rPr>
          <w:lang w:val="ka"/>
        </w:rPr>
        <w:t xml:space="preserve"> </w:t>
      </w:r>
      <w:r>
        <w:rPr>
          <w:b/>
          <w:bCs/>
          <w:lang w:val="ka"/>
        </w:rPr>
        <w:t xml:space="preserve">ამ გვერდის თავში</w:t>
      </w:r>
      <w:r>
        <w:rPr>
          <w:lang w:val="ka"/>
        </w:rPr>
        <w:t xml:space="preserve"> </w:t>
      </w:r>
      <w:r>
        <w:rPr>
          <w:lang w:val="ka"/>
        </w:rPr>
        <w:t xml:space="preserve">(„⚖️ შედარება“, „❓ კითხვა-პასუხი“). დარიგება ხსნის,</w:t>
      </w:r>
      <w:r>
        <w:rPr>
          <w:lang w:val="ka"/>
        </w:rPr>
        <w:t xml:space="preserve"> </w:t>
      </w:r>
      <w:r>
        <w:rPr>
          <w:b/>
          <w:bCs/>
          <w:lang w:val="ka"/>
        </w:rPr>
        <w:t xml:space="preserve">რატომ</w:t>
      </w:r>
      <w:r>
        <w:rPr>
          <w:lang w:val="ka"/>
        </w:rPr>
        <w:t xml:space="preserve"> </w:t>
      </w:r>
      <w:r>
        <w:rPr>
          <w:lang w:val="ka"/>
        </w:rPr>
        <w:t xml:space="preserve">არის ასე. ციტატები — კონსოლიდირებული ტექსტიდან (15.03.2025), ჩვენი თარგმანით + ორიგინალი. ტერმინები — გაბრიჩიძე 2023-ის მიხედვით →</w:t>
      </w:r>
      <w:r>
        <w:rPr>
          <w:lang w:val="ka"/>
        </w:rPr>
        <w:t xml:space="preserve"> </w:t>
      </w:r>
      <w:hyperlink r:id="rId9">
        <w:r>
          <w:rPr>
            <w:rStyle w:val="Hyperlink"/>
            <w:lang w:val="ka"/>
          </w:rPr>
          <w:t xml:space="preserve">გლოსარი</w:t>
        </w:r>
      </w:hyperlink>
      <w:r>
        <w:rPr>
          <w:lang w:val="ka"/>
        </w:rPr>
        <w:t xml:space="preserve">.</w:t>
      </w:r>
    </w:p>
    <w:bookmarkStart w:id="10" w:name="X10880254608aa83f85cf2a8b768747d05dccc1a"/>
    <w:p>
      <w:pPr>
        <w:pStyle w:val="Heading1"/>
      </w:pPr>
      <w:r>
        <w:rPr>
          <w:lang w:val="ka"/>
        </w:rPr>
        <w:t xml:space="preserve">დასაწყისი: სახელმწიფომ რეგულაცია ერთი სიტყვის შეცვლის გარეშე გადაწერა. ეს დარღვევაა</w:t>
      </w:r>
    </w:p>
    <w:p>
      <w:pPr>
        <w:pStyle w:val="FirstParagraph"/>
      </w:pPr>
      <w:r>
        <w:rPr>
          <w:lang w:val="ka"/>
        </w:rPr>
        <w:t xml:space="preserve">წარმოიდგინეთ: ევროკავშირმა მიიღო რეგულაცია. წევრმა სახელმწიფომ, „რომ ყველამ იცოდეს“, მისი ტექსტი</w:t>
      </w:r>
      <w:r>
        <w:rPr>
          <w:lang w:val="ka"/>
        </w:rPr>
        <w:t xml:space="preserve"> </w:t>
      </w:r>
      <w:r>
        <w:rPr>
          <w:b/>
          <w:bCs/>
          <w:lang w:val="ka"/>
        </w:rPr>
        <w:t xml:space="preserve">სიტყვასიტყვით</w:t>
      </w:r>
      <w:r>
        <w:rPr>
          <w:lang w:val="ka"/>
        </w:rPr>
        <w:t xml:space="preserve"> </w:t>
      </w:r>
      <w:r>
        <w:rPr>
          <w:lang w:val="ka"/>
        </w:rPr>
        <w:t xml:space="preserve">გადაიტანა საკუთარ კანონში. არაფერი შეუცვლია, არაფერი დაუმატებია.</w:t>
      </w:r>
    </w:p>
    <w:p>
      <w:pPr>
        <w:pStyle w:val="BodyText"/>
      </w:pPr>
      <w:r>
        <w:rPr>
          <w:lang w:val="ka"/>
        </w:rPr>
        <w:t xml:space="preserve">გაბრიჩიძე:</w:t>
      </w:r>
    </w:p>
    <w:p>
      <w:pPr>
        <w:pStyle w:val="BlockText"/>
      </w:pPr>
      <w:r>
        <w:rPr>
          <w:lang w:val="ka"/>
        </w:rPr>
        <w:t xml:space="preserve">„…რეგულაციის იმპლემენტაცია, თუნდაც იგი მხოლოდ და მხოლოდ ფორმალურ ხასიათს ატარებდეს და იმპლემენტაციის აქტი სიტყვასიტყვით იმეორებდეს რეგულაციის ტექსტს,</w:t>
      </w:r>
      <w:r>
        <w:rPr>
          <w:lang w:val="ka"/>
        </w:rPr>
        <w:t xml:space="preserve"> </w:t>
      </w:r>
      <w:r>
        <w:rPr>
          <w:b/>
          <w:bCs/>
          <w:lang w:val="ka"/>
        </w:rPr>
        <w:t xml:space="preserve">დაუშვებელია</w:t>
      </w:r>
      <w:r>
        <w:rPr>
          <w:lang w:val="ka"/>
        </w:rPr>
        <w:t xml:space="preserve">.“</w:t>
      </w:r>
    </w:p>
    <w:p>
      <w:pPr>
        <w:pStyle w:val="BlockText"/>
      </w:pPr>
      <w:r>
        <w:rPr>
          <w:lang w:val="ka"/>
        </w:rPr>
        <w:t xml:space="preserve">—</w:t>
      </w:r>
      <w:r>
        <w:rPr>
          <w:lang w:val="ka"/>
        </w:rPr>
        <w:t xml:space="preserve"> </w:t>
      </w:r>
      <w:r>
        <w:rPr>
          <w:i/>
          <w:iCs/>
          <w:lang w:val="ka"/>
        </w:rPr>
        <w:t xml:space="preserve">გაბრიჩიძე 2023, გვ. 95, პარ. 291 (სქოლ. 145: 43/71 Politi; 39/72 Commission v Italy)</w:t>
      </w:r>
    </w:p>
    <w:p>
      <w:pPr>
        <w:pStyle w:val="FirstParagraph"/>
      </w:pPr>
      <w:r>
        <w:rPr>
          <w:b/>
          <w:bCs/>
          <w:lang w:val="ka"/>
        </w:rPr>
        <w:t xml:space="preserve">დირექტივის</w:t>
      </w:r>
      <w:r>
        <w:rPr>
          <w:lang w:val="ka"/>
        </w:rPr>
        <w:t xml:space="preserve"> </w:t>
      </w:r>
      <w:r>
        <w:rPr>
          <w:lang w:val="ka"/>
        </w:rPr>
        <w:t xml:space="preserve">შემთხვევაში კი პირიქით — თუ სახელმწიფო მას საკუთარ კანონში</w:t>
      </w:r>
      <w:r>
        <w:rPr>
          <w:lang w:val="ka"/>
        </w:rPr>
        <w:t xml:space="preserve"> </w:t>
      </w:r>
      <w:r>
        <w:rPr>
          <w:b/>
          <w:bCs/>
          <w:lang w:val="ka"/>
        </w:rPr>
        <w:t xml:space="preserve">არ</w:t>
      </w:r>
      <w:r>
        <w:rPr>
          <w:lang w:val="ka"/>
        </w:rPr>
        <w:t xml:space="preserve"> </w:t>
      </w:r>
      <w:r>
        <w:rPr>
          <w:lang w:val="ka"/>
        </w:rPr>
        <w:t xml:space="preserve">გადაიტანს, ეს არის დარღვევა.</w:t>
      </w:r>
    </w:p>
    <w:p>
      <w:pPr>
        <w:pStyle w:val="BodyText"/>
      </w:pPr>
      <w:r>
        <w:rPr>
          <w:b/>
          <w:bCs/>
          <w:lang w:val="ka"/>
        </w:rPr>
        <w:t xml:space="preserve">კითხვა ლექციამდე:</w:t>
      </w:r>
      <w:r>
        <w:rPr>
          <w:lang w:val="ka"/>
        </w:rPr>
        <w:t xml:space="preserve"> </w:t>
      </w:r>
      <w:r>
        <w:rPr>
          <w:lang w:val="ka"/>
        </w:rPr>
        <w:t xml:space="preserve">რატომ არის ერთი და იგივე ქმედება (ევროპული ტექსტის ეროვნულ კანონში გადატანა) ერთ შემთხვევაში</w:t>
      </w:r>
      <w:r>
        <w:rPr>
          <w:lang w:val="ka"/>
        </w:rPr>
        <w:t xml:space="preserve"> </w:t>
      </w:r>
      <w:r>
        <w:rPr>
          <w:b/>
          <w:bCs/>
          <w:lang w:val="ka"/>
        </w:rPr>
        <w:t xml:space="preserve">აკრძალული</w:t>
      </w:r>
      <w:r>
        <w:rPr>
          <w:lang w:val="ka"/>
        </w:rPr>
        <w:t xml:space="preserve">, მეორეში —</w:t>
      </w:r>
      <w:r>
        <w:rPr>
          <w:lang w:val="ka"/>
        </w:rPr>
        <w:t xml:space="preserve"> </w:t>
      </w:r>
      <w:r>
        <w:rPr>
          <w:b/>
          <w:bCs/>
          <w:lang w:val="ka"/>
        </w:rPr>
        <w:t xml:space="preserve">სავალდებულო</w:t>
      </w:r>
      <w:r>
        <w:rPr>
          <w:lang w:val="ka"/>
        </w:rPr>
        <w:t xml:space="preserve">? პასუხი ხელშეკრულების</w:t>
      </w:r>
      <w:r>
        <w:rPr>
          <w:lang w:val="ka"/>
        </w:rPr>
        <w:t xml:space="preserve"> </w:t>
      </w:r>
      <w:r>
        <w:rPr>
          <w:b/>
          <w:bCs/>
          <w:lang w:val="ka"/>
        </w:rPr>
        <w:t xml:space="preserve">ერთ მუხლშია</w:t>
      </w:r>
      <w:r>
        <w:rPr>
          <w:lang w:val="ka"/>
        </w:rPr>
        <w:t xml:space="preserve">.</w:t>
      </w:r>
    </w:p>
    <w:p>
      <w:pPr>
        <w:pStyle w:val="BodyText"/>
      </w:pPr>
      <w:r>
        <w:rPr>
          <w:i/>
          <w:iCs/>
          <w:lang w:val="ka"/>
        </w:rPr>
        <w:t xml:space="preserve">პასუხი — დარიგების ბოლოს (🔓 სპოილერი).</w:t>
      </w:r>
    </w:p>
    <w:p>
      <w:r>
        <w:pict>
          <v:rect style="width:0;height:1.5pt" o:hralign="center" o:hrstd="t" o:hr="t"/>
        </w:pict>
      </w:r>
    </w:p>
    <w:bookmarkEnd w:id="10"/>
    <w:bookmarkStart w:id="11" w:name="ხიდი-წინა-კვირიდან"/>
    <w:p>
      <w:pPr>
        <w:pStyle w:val="Heading1"/>
      </w:pPr>
      <w:r>
        <w:rPr>
          <w:lang w:val="ka"/>
        </w:rPr>
        <w:t xml:space="preserve">ხიდი წინა კვირიდან</w:t>
      </w:r>
    </w:p>
    <w:p>
      <w:pPr>
        <w:pStyle w:val="FirstParagraph"/>
      </w:pPr>
      <w:r>
        <w:rPr>
          <w:lang w:val="ka"/>
        </w:rPr>
        <w:t xml:space="preserve">კვირა 5-ში</w:t>
      </w:r>
      <w:r>
        <w:rPr>
          <w:lang w:val="ka"/>
        </w:rPr>
        <w:t xml:space="preserve"> </w:t>
      </w:r>
      <w:r>
        <w:rPr>
          <w:i/>
          <w:iCs/>
          <w:lang w:val="ka"/>
        </w:rPr>
        <w:t xml:space="preserve">Les Verts</w:t>
      </w:r>
      <w:r>
        <w:rPr>
          <w:lang w:val="ka"/>
        </w:rPr>
        <w:t xml:space="preserve">-მა თქვა: გასაჩივრებადია ყველა აქტი, რომელიც „</w:t>
      </w:r>
      <w:r>
        <w:rPr>
          <w:b/>
          <w:bCs/>
          <w:lang w:val="ka"/>
        </w:rPr>
        <w:t xml:space="preserve">legal effects vis-à-vis third parties</w:t>
      </w:r>
      <w:r>
        <w:rPr>
          <w:lang w:val="ka"/>
        </w:rPr>
        <w:t xml:space="preserve">“ ქმნის. დღეს ვკითხულობთ:</w:t>
      </w:r>
      <w:r>
        <w:rPr>
          <w:lang w:val="ka"/>
        </w:rPr>
        <w:t xml:space="preserve"> </w:t>
      </w:r>
      <w:r>
        <w:rPr>
          <w:b/>
          <w:bCs/>
          <w:lang w:val="ka"/>
        </w:rPr>
        <w:t xml:space="preserve">რა სახის</w:t>
      </w:r>
      <w:r>
        <w:rPr>
          <w:lang w:val="ka"/>
        </w:rPr>
        <w:t xml:space="preserve"> </w:t>
      </w:r>
      <w:r>
        <w:rPr>
          <w:lang w:val="ka"/>
        </w:rPr>
        <w:t xml:space="preserve">აქტები არსებობს,</w:t>
      </w:r>
      <w:r>
        <w:rPr>
          <w:lang w:val="ka"/>
        </w:rPr>
        <w:t xml:space="preserve"> </w:t>
      </w:r>
      <w:r>
        <w:rPr>
          <w:b/>
          <w:bCs/>
          <w:lang w:val="ka"/>
        </w:rPr>
        <w:t xml:space="preserve">ვის</w:t>
      </w:r>
      <w:r>
        <w:rPr>
          <w:lang w:val="ka"/>
        </w:rPr>
        <w:t xml:space="preserve"> </w:t>
      </w:r>
      <w:r>
        <w:rPr>
          <w:lang w:val="ka"/>
        </w:rPr>
        <w:t xml:space="preserve">ავალდებულებენ და</w:t>
      </w:r>
      <w:r>
        <w:rPr>
          <w:lang w:val="ka"/>
        </w:rPr>
        <w:t xml:space="preserve"> </w:t>
      </w:r>
      <w:r>
        <w:rPr>
          <w:b/>
          <w:bCs/>
          <w:lang w:val="ka"/>
        </w:rPr>
        <w:t xml:space="preserve">რომელია უფრო მაღლა</w:t>
      </w:r>
      <w:r>
        <w:rPr>
          <w:lang w:val="ka"/>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კითხვა</w:t>
            </w:r>
          </w:p>
        </w:tc>
        <w:tc>
          <w:tcPr/>
          <w:p>
            <w:pPr>
              <w:pStyle w:val="Compact"/>
            </w:pPr>
            <w:r>
              <w:rPr>
                <w:lang w:val="ka"/>
              </w:rPr>
              <w:t xml:space="preserve">მუხლი</w:t>
            </w:r>
          </w:p>
        </w:tc>
        <w:tc>
          <w:tcPr/>
          <w:p>
            <w:pPr>
              <w:pStyle w:val="Compact"/>
            </w:pPr>
            <w:r>
              <w:rPr>
                <w:lang w:val="ka"/>
              </w:rPr>
              <w:t xml:space="preserve">წიგნი</w:t>
            </w:r>
          </w:p>
        </w:tc>
      </w:tr>
      <w:tr>
        <w:tc>
          <w:tcPr/>
          <w:p>
            <w:pPr>
              <w:pStyle w:val="Compact"/>
            </w:pPr>
            <w:r>
              <w:rPr>
                <w:lang w:val="ka"/>
              </w:rPr>
              <w:t xml:space="preserve">წყაროების სისტემა</w:t>
            </w:r>
          </w:p>
        </w:tc>
        <w:tc>
          <w:tcPr/>
          <w:p>
            <w:pPr>
              <w:pStyle w:val="Compact"/>
            </w:pPr>
            <w:r>
              <w:rPr>
                <w:lang w:val="ka"/>
              </w:rPr>
              <w:t xml:space="preserve">TEU 6, 51; TFEU 216(2)</w:t>
            </w:r>
          </w:p>
        </w:tc>
        <w:tc>
          <w:tcPr/>
          <w:p>
            <w:pPr>
              <w:pStyle w:val="Compact"/>
            </w:pPr>
            <w:r>
              <w:rPr>
                <w:lang w:val="ka"/>
              </w:rPr>
              <w:t xml:space="preserve">გაბრიჩიძე 2023, გვ. 86–87 (პარ. 265–269)</w:t>
            </w:r>
          </w:p>
        </w:tc>
      </w:tr>
      <w:tr>
        <w:tc>
          <w:tcPr/>
          <w:p>
            <w:pPr>
              <w:pStyle w:val="Compact"/>
            </w:pPr>
            <w:r>
              <w:rPr>
                <w:lang w:val="ka"/>
              </w:rPr>
              <w:t xml:space="preserve">პირველადი სამართალი; საყოველთაო პრინციპები; ჩვეულება; „კონსტიტუცია“</w:t>
            </w:r>
          </w:p>
        </w:tc>
        <w:tc>
          <w:tcPr/>
          <w:p>
            <w:pPr>
              <w:pStyle w:val="Compact"/>
            </w:pPr>
            <w:r>
              <w:rPr>
                <w:lang w:val="ka"/>
              </w:rPr>
              <w:t xml:space="preserve">TEU 5(4), 6; TFEU 340</w:t>
            </w:r>
          </w:p>
        </w:tc>
        <w:tc>
          <w:tcPr/>
          <w:p>
            <w:pPr>
              <w:pStyle w:val="Compact"/>
            </w:pPr>
            <w:r>
              <w:rPr>
                <w:lang w:val="ka"/>
              </w:rPr>
              <w:t xml:space="preserve">გვ. 87–93 (პარ. 269–282)</w:t>
            </w:r>
          </w:p>
        </w:tc>
      </w:tr>
      <w:tr>
        <w:tc>
          <w:tcPr/>
          <w:p>
            <w:pPr>
              <w:pStyle w:val="Compact"/>
            </w:pPr>
            <w:r>
              <w:rPr>
                <w:lang w:val="ka"/>
              </w:rPr>
              <w:t xml:space="preserve">მეორადი სამართალი — ხუთი აქტი</w:t>
            </w:r>
          </w:p>
        </w:tc>
        <w:tc>
          <w:tcPr/>
          <w:p>
            <w:pPr>
              <w:pStyle w:val="Compact"/>
            </w:pPr>
            <w:r>
              <w:rPr>
                <w:lang w:val="ka"/>
              </w:rPr>
              <w:t xml:space="preserve">TFEU</w:t>
            </w:r>
            <w:r>
              <w:rPr>
                <w:lang w:val="ka"/>
              </w:rPr>
              <w:t xml:space="preserve"> </w:t>
            </w:r>
            <w:r>
              <w:rPr>
                <w:b/>
                <w:bCs/>
                <w:lang w:val="ka"/>
              </w:rPr>
              <w:t xml:space="preserve">288</w:t>
            </w:r>
          </w:p>
        </w:tc>
        <w:tc>
          <w:tcPr/>
          <w:p>
            <w:pPr>
              <w:pStyle w:val="Compact"/>
            </w:pPr>
            <w:r>
              <w:rPr>
                <w:lang w:val="ka"/>
              </w:rPr>
              <w:t xml:space="preserve">გვ. 93–112 (პარ. 283–339)</w:t>
            </w:r>
          </w:p>
        </w:tc>
      </w:tr>
      <w:tr>
        <w:tc>
          <w:tcPr/>
          <w:p>
            <w:pPr>
              <w:pStyle w:val="Compact"/>
            </w:pPr>
            <w:r>
              <w:rPr>
                <w:lang w:val="ka"/>
              </w:rPr>
              <w:t xml:space="preserve">საკანონმდებლო / დელეგირებული / განმახორციელებელი</w:t>
            </w:r>
          </w:p>
        </w:tc>
        <w:tc>
          <w:tcPr/>
          <w:p>
            <w:pPr>
              <w:pStyle w:val="Compact"/>
            </w:pPr>
            <w:r>
              <w:rPr>
                <w:lang w:val="ka"/>
              </w:rPr>
              <w:t xml:space="preserve">TFEU 289–291</w:t>
            </w:r>
          </w:p>
        </w:tc>
        <w:tc>
          <w:tcPr/>
          <w:p>
            <w:pPr>
              <w:pStyle w:val="Compact"/>
            </w:pPr>
            <w:r>
              <w:rPr>
                <w:lang w:val="ka"/>
              </w:rPr>
              <w:t xml:space="preserve">გვ. 94 (პარ. 286)</w:t>
            </w:r>
          </w:p>
        </w:tc>
      </w:tr>
      <w:tr>
        <w:tc>
          <w:tcPr/>
          <w:p>
            <w:pPr>
              <w:pStyle w:val="Compact"/>
            </w:pPr>
            <w:r>
              <w:rPr>
                <w:lang w:val="ka"/>
              </w:rPr>
              <w:t xml:space="preserve">ძალაში შესვლა, დასაბუთება</w:t>
            </w:r>
          </w:p>
        </w:tc>
        <w:tc>
          <w:tcPr/>
          <w:p>
            <w:pPr>
              <w:pStyle w:val="Compact"/>
            </w:pPr>
            <w:r>
              <w:rPr>
                <w:lang w:val="ka"/>
              </w:rPr>
              <w:t xml:space="preserve">TFEU 296–297</w:t>
            </w:r>
          </w:p>
        </w:tc>
        <w:tc>
          <w:tcPr/>
          <w:p>
            <w:pPr>
              <w:pStyle w:val="Compact"/>
            </w:pPr>
            <w:r>
              <w:rPr>
                <w:lang w:val="ka"/>
              </w:rPr>
              <w:t xml:space="preserve">გვ. 98, 110 (პარ. 302, 333)</w:t>
            </w:r>
          </w:p>
        </w:tc>
      </w:tr>
    </w:tbl>
    <w:p>
      <w:r>
        <w:pict>
          <v:rect style="width:0;height:1.5pt" o:hralign="center" o:hrstd="t" o:hr="t"/>
        </w:pict>
      </w:r>
    </w:p>
    <w:bookmarkEnd w:id="11"/>
    <w:bookmarkStart w:id="12" w:name="i.-სამი-სართული"/>
    <w:p>
      <w:pPr>
        <w:pStyle w:val="Heading1"/>
      </w:pPr>
      <w:r>
        <w:rPr>
          <w:lang w:val="ka"/>
        </w:rPr>
        <w:t xml:space="preserve">I. სამი სართული</w:t>
      </w:r>
    </w:p>
    <w:p>
      <w:pPr>
        <w:pStyle w:val="BlockText"/>
      </w:pPr>
      <w:r>
        <w:rPr>
          <w:lang w:val="ka"/>
        </w:rPr>
        <w:t xml:space="preserve">„ევროპის კავშირის სამართლის წყაროები იყოფა</w:t>
      </w:r>
      <w:r>
        <w:rPr>
          <w:lang w:val="ka"/>
        </w:rPr>
        <w:t xml:space="preserve"> </w:t>
      </w:r>
      <w:r>
        <w:rPr>
          <w:b/>
          <w:bCs/>
          <w:lang w:val="ka"/>
        </w:rPr>
        <w:t xml:space="preserve">პირველად</w:t>
      </w:r>
      <w:r>
        <w:rPr>
          <w:lang w:val="ka"/>
        </w:rPr>
        <w:t xml:space="preserve"> </w:t>
      </w:r>
      <w:r>
        <w:rPr>
          <w:lang w:val="ka"/>
        </w:rPr>
        <w:t xml:space="preserve">და</w:t>
      </w:r>
      <w:r>
        <w:rPr>
          <w:lang w:val="ka"/>
        </w:rPr>
        <w:t xml:space="preserve"> </w:t>
      </w:r>
      <w:r>
        <w:rPr>
          <w:b/>
          <w:bCs/>
          <w:lang w:val="ka"/>
        </w:rPr>
        <w:t xml:space="preserve">მეორად</w:t>
      </w:r>
      <w:r>
        <w:rPr>
          <w:lang w:val="ka"/>
        </w:rPr>
        <w:t xml:space="preserve"> </w:t>
      </w:r>
      <w:r>
        <w:rPr>
          <w:lang w:val="ka"/>
        </w:rPr>
        <w:t xml:space="preserve">წყაროებად. […] პირველად და მეორად სამართლის ნორმებს შორის რანგობრივად მსგავსი დამოკიდებულებაა, როგორც სახელმწიფოს ფარგლებში</w:t>
      </w:r>
      <w:r>
        <w:rPr>
          <w:lang w:val="ka"/>
        </w:rPr>
        <w:t xml:space="preserve"> </w:t>
      </w:r>
      <w:r>
        <w:rPr>
          <w:b/>
          <w:bCs/>
          <w:lang w:val="ka"/>
        </w:rPr>
        <w:t xml:space="preserve">კონსტიტუციასა და რიგითი კანონების</w:t>
      </w:r>
      <w:r>
        <w:rPr>
          <w:lang w:val="ka"/>
        </w:rPr>
        <w:t xml:space="preserve"> </w:t>
      </w:r>
      <w:r>
        <w:rPr>
          <w:lang w:val="ka"/>
        </w:rPr>
        <w:t xml:space="preserve">ნორმებს შორის.“</w:t>
      </w:r>
    </w:p>
    <w:p>
      <w:pPr>
        <w:pStyle w:val="BlockText"/>
      </w:pPr>
      <w:r>
        <w:rPr>
          <w:lang w:val="ka"/>
        </w:rPr>
        <w:t xml:space="preserve">—</w:t>
      </w:r>
      <w:r>
        <w:rPr>
          <w:lang w:val="ka"/>
        </w:rPr>
        <w:t xml:space="preserve"> </w:t>
      </w:r>
      <w:r>
        <w:rPr>
          <w:i/>
          <w:iCs/>
          <w:lang w:val="ka"/>
        </w:rPr>
        <w:t xml:space="preserve">გაბრიჩიძე 2023, გვ. 86, პარ. 265</w:t>
      </w:r>
    </w:p>
    <w:p>
      <w:pPr>
        <w:pStyle w:val="FirstParagraph"/>
      </w:pPr>
      <w:r>
        <w:rPr>
          <w:lang w:val="ka"/>
        </w:rPr>
        <w:t xml:space="preserve">მათ შორის დგას მესამე სართული — ევროკავშირის</w:t>
      </w:r>
      <w:r>
        <w:rPr>
          <w:lang w:val="ka"/>
        </w:rPr>
        <w:t xml:space="preserve"> </w:t>
      </w:r>
      <w:r>
        <w:rPr>
          <w:b/>
          <w:bCs/>
          <w:lang w:val="ka"/>
        </w:rPr>
        <w:t xml:space="preserve">საერთაშორისო შეთანხმებები</w:t>
      </w:r>
      <w:r>
        <w:rPr>
          <w:lang w:val="ka"/>
        </w:rPr>
        <w:t xml:space="preserve"> </w:t>
      </w:r>
      <w:r>
        <w:rPr>
          <w:lang w:val="ka"/>
        </w:rPr>
        <w:t xml:space="preserve">(პარ. 266). ხელშეკრულება:</w:t>
      </w:r>
    </w:p>
    <w:p>
      <w:pPr>
        <w:pStyle w:val="BlockText"/>
      </w:pPr>
      <w:r>
        <w:rPr>
          <w:lang w:val="ka"/>
        </w:rPr>
        <w:t xml:space="preserve">„ევროკავშირის მიერ დადებული შეთანხმებები სავალდებულოა ევროკავშირის</w:t>
      </w:r>
      <w:r>
        <w:rPr>
          <w:lang w:val="ka"/>
        </w:rPr>
        <w:t xml:space="preserve"> </w:t>
      </w:r>
      <w:r>
        <w:rPr>
          <w:b/>
          <w:bCs/>
          <w:lang w:val="ka"/>
        </w:rPr>
        <w:t xml:space="preserve">ორგანოებისა</w:t>
      </w:r>
      <w:r>
        <w:rPr>
          <w:lang w:val="ka"/>
        </w:rPr>
        <w:t xml:space="preserve"> </w:t>
      </w:r>
      <w:r>
        <w:rPr>
          <w:lang w:val="ka"/>
        </w:rPr>
        <w:t xml:space="preserve">და მისი</w:t>
      </w:r>
      <w:r>
        <w:rPr>
          <w:lang w:val="ka"/>
        </w:rPr>
        <w:t xml:space="preserve"> </w:t>
      </w:r>
      <w:r>
        <w:rPr>
          <w:b/>
          <w:bCs/>
          <w:lang w:val="ka"/>
        </w:rPr>
        <w:t xml:space="preserve">წევრი სახელმწიფოებისთვის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„Agreements concluded by the Union are binding upon the institutions of the Union and on its Member States.“ —</w:t>
      </w:r>
      <w:r>
        <w:rPr>
          <w:lang w:val="ka"/>
        </w:rPr>
        <w:t xml:space="preserve"> </w:t>
      </w:r>
      <w:r>
        <w:rPr>
          <w:i/>
          <w:iCs/>
          <w:lang w:val="ka"/>
        </w:rPr>
        <w:t xml:space="preserve">TFEU მუხ. 216(2), PDF გვ. 139</w:t>
      </w:r>
    </w:p>
    <w:p>
      <w:pPr>
        <w:pStyle w:val="FirstParagraph"/>
      </w:pPr>
      <w:r>
        <w:rPr>
          <w:lang w:val="ka"/>
        </w:rPr>
        <w:t xml:space="preserve">📌 ეს ჩვენთვის კონკრეტულია:</w:t>
      </w:r>
      <w:r>
        <w:rPr>
          <w:lang w:val="ka"/>
        </w:rPr>
        <w:t xml:space="preserve"> </w:t>
      </w:r>
      <w:r>
        <w:rPr>
          <w:b/>
          <w:bCs/>
          <w:lang w:val="ka"/>
        </w:rPr>
        <w:t xml:space="preserve">ასოცირების შეთანხმება საქართველოსთან</w:t>
      </w:r>
      <w:r>
        <w:rPr>
          <w:lang w:val="ka"/>
        </w:rPr>
        <w:t xml:space="preserve"> </w:t>
      </w:r>
      <w:r>
        <w:rPr>
          <w:lang w:val="ka"/>
        </w:rPr>
        <w:t xml:space="preserve">— ევროკავშირის მხრიდან სწორედ ამ „შუა სართულზე“ დგას (კვირა 10). 📊 → ცხრილი 1.</w:t>
      </w:r>
    </w:p>
    <w:p>
      <w:pPr>
        <w:pStyle w:val="BodyText"/>
      </w:pPr>
      <w:r>
        <w:rPr>
          <w:b/>
          <w:bCs/>
          <w:lang w:val="ka"/>
        </w:rPr>
        <w:t xml:space="preserve">სად და რამდენ ხანს?</w:t>
      </w:r>
      <w:r>
        <w:rPr>
          <w:lang w:val="ka"/>
        </w:rPr>
        <w:t xml:space="preserve"> </w:t>
      </w:r>
      <w:r>
        <w:rPr>
          <w:lang w:val="ka"/>
        </w:rPr>
        <w:t xml:space="preserve">სახელმწიფოების ტერიტორიაზე (TEU 52), გამონაკლისებით (TFEU 355 — მაგ.,</w:t>
      </w:r>
      <w:r>
        <w:rPr>
          <w:lang w:val="ka"/>
        </w:rPr>
        <w:t xml:space="preserve"> </w:t>
      </w:r>
      <w:r>
        <w:rPr>
          <w:b/>
          <w:bCs/>
          <w:lang w:val="ka"/>
        </w:rPr>
        <w:t xml:space="preserve">ფარერის კუნძულები</w:t>
      </w:r>
      <w:r>
        <w:rPr>
          <w:lang w:val="ka"/>
        </w:rPr>
        <w:t xml:space="preserve"> </w:t>
      </w:r>
      <w:r>
        <w:rPr>
          <w:lang w:val="ka"/>
        </w:rPr>
        <w:t xml:space="preserve">— არა). TEU, TFEU და Euratom —</w:t>
      </w:r>
      <w:r>
        <w:rPr>
          <w:lang w:val="ka"/>
        </w:rPr>
        <w:t xml:space="preserve"> </w:t>
      </w:r>
      <w:r>
        <w:rPr>
          <w:b/>
          <w:bCs/>
          <w:lang w:val="ka"/>
        </w:rPr>
        <w:t xml:space="preserve">უვადოა</w:t>
      </w:r>
      <w:r>
        <w:rPr>
          <w:lang w:val="ka"/>
        </w:rPr>
        <w:t xml:space="preserve">; ECSC-ის ხელშეკრულება 50 წლით დაიდო და 2002-ში ამოიწურა (პარ. 267–268).</w:t>
      </w:r>
    </w:p>
    <w:p>
      <w:r>
        <w:pict>
          <v:rect style="width:0;height:1.5pt" o:hralign="center" o:hrstd="t" o:hr="t"/>
        </w:pict>
      </w:r>
    </w:p>
    <w:bookmarkEnd w:id="12"/>
    <w:bookmarkStart w:id="16" w:name="ii.-პირველადი-სამართალი"/>
    <w:p>
      <w:pPr>
        <w:pStyle w:val="Heading1"/>
      </w:pPr>
      <w:r>
        <w:rPr>
          <w:lang w:val="ka"/>
        </w:rPr>
        <w:t xml:space="preserve">II. პირველადი სამართალი</w:t>
      </w:r>
    </w:p>
    <w:bookmarkStart w:id="13" w:name="რა-შედის"/>
    <w:p>
      <w:pPr>
        <w:pStyle w:val="Heading2"/>
      </w:pPr>
      <w:r>
        <w:rPr>
          <w:lang w:val="ka"/>
        </w:rPr>
        <w:t xml:space="preserve">1. რა შედის</w:t>
      </w:r>
    </w:p>
    <w:p>
      <w:pPr>
        <w:pStyle w:val="FirstParagraph"/>
      </w:pPr>
      <w:r>
        <w:rPr>
          <w:lang w:val="ka"/>
        </w:rPr>
        <w:t xml:space="preserve">გაბრიჩიძის სია (პარ. 269): TEU, TFEU, Euratom; მათი ოქმები; ცვლილებები (შერწყმა, SEA, მაასტრიხტი, ამსტერდამი, ნიცა, ლისაბონი) და გაწევრიანების ხელშეკრულებები;</w:t>
      </w:r>
      <w:r>
        <w:rPr>
          <w:lang w:val="ka"/>
        </w:rPr>
        <w:t xml:space="preserve"> </w:t>
      </w:r>
      <w:r>
        <w:rPr>
          <w:b/>
          <w:bCs/>
          <w:lang w:val="ka"/>
        </w:rPr>
        <w:t xml:space="preserve">ქარტია</w:t>
      </w:r>
      <w:r>
        <w:rPr>
          <w:lang w:val="ka"/>
        </w:rPr>
        <w:t xml:space="preserve">;</w:t>
      </w:r>
      <w:r>
        <w:rPr>
          <w:lang w:val="ka"/>
        </w:rPr>
        <w:t xml:space="preserve"> </w:t>
      </w:r>
      <w:r>
        <w:rPr>
          <w:b/>
          <w:bCs/>
          <w:lang w:val="ka"/>
        </w:rPr>
        <w:t xml:space="preserve">საყოველთაო სამართლებრივი პრინციპები</w:t>
      </w:r>
      <w:r>
        <w:rPr>
          <w:lang w:val="ka"/>
        </w:rPr>
        <w:t xml:space="preserve"> </w:t>
      </w:r>
      <w:r>
        <w:rPr>
          <w:lang w:val="ka"/>
        </w:rPr>
        <w:t xml:space="preserve">და</w:t>
      </w:r>
      <w:r>
        <w:rPr>
          <w:lang w:val="ka"/>
        </w:rPr>
        <w:t xml:space="preserve"> </w:t>
      </w:r>
      <w:r>
        <w:rPr>
          <w:b/>
          <w:bCs/>
          <w:lang w:val="ka"/>
        </w:rPr>
        <w:t xml:space="preserve">ჩვეულებითი სამართალი</w:t>
      </w:r>
      <w:r>
        <w:rPr>
          <w:lang w:val="ka"/>
        </w:rPr>
        <w:t xml:space="preserve">. თარიღები — 📊 ცხრილი 6.</w:t>
      </w:r>
    </w:p>
    <w:p>
      <w:pPr>
        <w:pStyle w:val="BodyText"/>
      </w:pPr>
      <w:r>
        <w:rPr>
          <w:b/>
          <w:bCs/>
          <w:lang w:val="ka"/>
        </w:rPr>
        <w:t xml:space="preserve">ოქმი ≠ დეკლარაცია.</w:t>
      </w:r>
      <w:r>
        <w:rPr>
          <w:lang w:val="ka"/>
        </w:rPr>
        <w:t xml:space="preserve"> </w:t>
      </w:r>
      <w:r>
        <w:rPr>
          <w:lang w:val="ka"/>
        </w:rPr>
        <w:t xml:space="preserve">ოქმები „shall form an</w:t>
      </w:r>
      <w:r>
        <w:rPr>
          <w:lang w:val="ka"/>
        </w:rPr>
        <w:t xml:space="preserve"> </w:t>
      </w:r>
      <w:r>
        <w:rPr>
          <w:b/>
          <w:bCs/>
          <w:lang w:val="ka"/>
        </w:rPr>
        <w:t xml:space="preserve">integral part</w:t>
      </w:r>
      <w:r>
        <w:rPr>
          <w:lang w:val="ka"/>
        </w:rPr>
        <w:t xml:space="preserve">“ ხელშეკრულებებისა (TEU 51) — ეს</w:t>
      </w:r>
      <w:r>
        <w:rPr>
          <w:lang w:val="ka"/>
        </w:rPr>
        <w:t xml:space="preserve"> </w:t>
      </w:r>
      <w:r>
        <w:rPr>
          <w:b/>
          <w:bCs/>
          <w:lang w:val="ka"/>
        </w:rPr>
        <w:t xml:space="preserve">სავალდებულოა</w:t>
      </w:r>
      <w:r>
        <w:rPr>
          <w:lang w:val="ka"/>
        </w:rPr>
        <w:t xml:space="preserve">. დეკლარაცია — სამთავრობათაშორისი კონფერენციის</w:t>
      </w:r>
      <w:r>
        <w:rPr>
          <w:lang w:val="ka"/>
        </w:rPr>
        <w:t xml:space="preserve"> </w:t>
      </w:r>
      <w:r>
        <w:rPr>
          <w:b/>
          <w:bCs/>
          <w:lang w:val="ka"/>
        </w:rPr>
        <w:t xml:space="preserve">პოლიტიკური</w:t>
      </w:r>
      <w:r>
        <w:rPr>
          <w:lang w:val="ka"/>
        </w:rPr>
        <w:t xml:space="preserve"> </w:t>
      </w:r>
      <w:r>
        <w:rPr>
          <w:lang w:val="ka"/>
        </w:rPr>
        <w:t xml:space="preserve">განცხადებაა (მაგ., №38 — კვირა 5).</w:t>
      </w:r>
    </w:p>
    <w:p>
      <w:pPr>
        <w:pStyle w:val="BodyText"/>
      </w:pPr>
      <w:r>
        <w:rPr>
          <w:b/>
          <w:bCs/>
          <w:lang w:val="ka"/>
        </w:rPr>
        <w:t xml:space="preserve">ქარტია</w:t>
      </w:r>
      <w:r>
        <w:rPr>
          <w:lang w:val="ka"/>
        </w:rPr>
        <w:t xml:space="preserve"> </w:t>
      </w:r>
      <w:r>
        <w:rPr>
          <w:lang w:val="ka"/>
        </w:rPr>
        <w:t xml:space="preserve">ლისაბონიდან ხელშეკრულებების</w:t>
      </w:r>
      <w:r>
        <w:rPr>
          <w:lang w:val="ka"/>
        </w:rPr>
        <w:t xml:space="preserve"> </w:t>
      </w:r>
      <w:r>
        <w:rPr>
          <w:b/>
          <w:bCs/>
          <w:lang w:val="ka"/>
        </w:rPr>
        <w:t xml:space="preserve">თანაბარია</w:t>
      </w:r>
      <w:r>
        <w:rPr>
          <w:lang w:val="ka"/>
        </w:rPr>
        <w:t xml:space="preserve">:</w:t>
      </w:r>
    </w:p>
    <w:p>
      <w:pPr>
        <w:pStyle w:val="BlockText"/>
      </w:pPr>
      <w:r>
        <w:rPr>
          <w:lang w:val="ka"/>
        </w:rPr>
        <w:t xml:space="preserve">„ევროკავშირი ცნობს ძირითადი უფლებების ქარტიაში […] ჩამოყალიბებულ უფლებებს, თავისუფლებებსა და პრინციპებს, რომელსაც</w:t>
      </w:r>
      <w:r>
        <w:rPr>
          <w:lang w:val="ka"/>
        </w:rPr>
        <w:t xml:space="preserve"> </w:t>
      </w:r>
      <w:r>
        <w:rPr>
          <w:b/>
          <w:bCs/>
          <w:lang w:val="ka"/>
        </w:rPr>
        <w:t xml:space="preserve">ხელშეკრულებების თანაბარი იურიდიული ძალა აქვს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Union recognises the rights, freedoms and principles set out in the Charter of Fundamental Rights of the European Union […], which shall have the same legal value as the Treaties.“ —</w:t>
      </w:r>
      <w:r>
        <w:rPr>
          <w:lang w:val="ka"/>
        </w:rPr>
        <w:t xml:space="preserve"> </w:t>
      </w:r>
      <w:r>
        <w:rPr>
          <w:i/>
          <w:iCs/>
          <w:lang w:val="ka"/>
        </w:rPr>
        <w:t xml:space="preserve">TEU მუხ. 6(1), PDF გვ. 17</w:t>
      </w:r>
    </w:p>
    <w:bookmarkEnd w:id="13"/>
    <w:bookmarkStart w:id="14" w:name="X5f47b41d948aac1c1382c0895cdbc06a9b46af4"/>
    <w:p>
      <w:pPr>
        <w:pStyle w:val="Heading2"/>
      </w:pPr>
      <w:r>
        <w:rPr>
          <w:lang w:val="ka"/>
        </w:rPr>
        <w:t xml:space="preserve">2. საყოველთაო სამართლებრივი პრინციპები — სასამართლოს „ხელით დაწერილი“ სამართალი</w:t>
      </w:r>
    </w:p>
    <w:p>
      <w:pPr>
        <w:pStyle w:val="FirstParagraph"/>
      </w:pPr>
      <w:r>
        <w:rPr>
          <w:lang w:val="ka"/>
        </w:rPr>
        <w:t xml:space="preserve">ხელშეკრულება „საყოველთაო პრინციპებს“ თავიდან მხოლოდ</w:t>
      </w:r>
      <w:r>
        <w:rPr>
          <w:lang w:val="ka"/>
        </w:rPr>
        <w:t xml:space="preserve"> </w:t>
      </w:r>
      <w:r>
        <w:rPr>
          <w:b/>
          <w:bCs/>
          <w:lang w:val="ka"/>
        </w:rPr>
        <w:t xml:space="preserve">ერთ</w:t>
      </w:r>
      <w:r>
        <w:rPr>
          <w:lang w:val="ka"/>
        </w:rPr>
        <w:t xml:space="preserve"> </w:t>
      </w:r>
      <w:r>
        <w:rPr>
          <w:lang w:val="ka"/>
        </w:rPr>
        <w:t xml:space="preserve">ადგილას ახსენებდა — ზიანის ანაზღაურებისას (დღეს TFEU 340: „in accordance with the general principles common to the laws of the Member States“). სასამართლომ ისინი</w:t>
      </w:r>
      <w:r>
        <w:rPr>
          <w:lang w:val="ka"/>
        </w:rPr>
        <w:t xml:space="preserve"> </w:t>
      </w:r>
      <w:r>
        <w:rPr>
          <w:b/>
          <w:bCs/>
          <w:lang w:val="ka"/>
        </w:rPr>
        <w:t xml:space="preserve">მთელ</w:t>
      </w:r>
      <w:r>
        <w:rPr>
          <w:lang w:val="ka"/>
        </w:rPr>
        <w:t xml:space="preserve"> </w:t>
      </w:r>
      <w:r>
        <w:rPr>
          <w:lang w:val="ka"/>
        </w:rPr>
        <w:t xml:space="preserve">სამართალზე გაავრცელა, რომ ხარვეზები შეევსო (გაბრიჩიძე, პარ. 273).</w:t>
      </w:r>
    </w:p>
    <w:p>
      <w:pPr>
        <w:pStyle w:val="BodyText"/>
      </w:pPr>
      <w:r>
        <w:rPr>
          <w:lang w:val="ka"/>
        </w:rPr>
        <w:t xml:space="preserve">ყველაზე მნიშვნელოვანი მაგალითი —</w:t>
      </w:r>
      <w:r>
        <w:rPr>
          <w:lang w:val="ka"/>
        </w:rPr>
        <w:t xml:space="preserve"> </w:t>
      </w:r>
      <w:r>
        <w:rPr>
          <w:b/>
          <w:bCs/>
          <w:lang w:val="ka"/>
        </w:rPr>
        <w:t xml:space="preserve">ძირითადი უფლებები</w:t>
      </w:r>
      <w:r>
        <w:rPr>
          <w:lang w:val="ka"/>
        </w:rPr>
        <w:t xml:space="preserve">, როცა ხელშეკრულებაში უფლებების კატალოგი</w:t>
      </w:r>
      <w:r>
        <w:rPr>
          <w:lang w:val="ka"/>
        </w:rPr>
        <w:t xml:space="preserve"> </w:t>
      </w:r>
      <w:r>
        <w:rPr>
          <w:b/>
          <w:bCs/>
          <w:lang w:val="ka"/>
        </w:rPr>
        <w:t xml:space="preserve">არ</w:t>
      </w:r>
      <w:r>
        <w:rPr>
          <w:lang w:val="ka"/>
        </w:rPr>
        <w:t xml:space="preserve"> </w:t>
      </w:r>
      <w:r>
        <w:rPr>
          <w:lang w:val="ka"/>
        </w:rPr>
        <w:t xml:space="preserve">იყო:</w:t>
      </w:r>
    </w:p>
    <w:p>
      <w:pPr>
        <w:pStyle w:val="BlockText"/>
      </w:pPr>
      <w:r>
        <w:rPr>
          <w:lang w:val="ka"/>
        </w:rPr>
        <w:t xml:space="preserve">„…ძირითადი უფლებების დაცვა იმ</w:t>
      </w:r>
      <w:r>
        <w:rPr>
          <w:lang w:val="ka"/>
        </w:rPr>
        <w:t xml:space="preserve"> </w:t>
      </w:r>
      <w:r>
        <w:rPr>
          <w:b/>
          <w:bCs/>
          <w:lang w:val="ka"/>
        </w:rPr>
        <w:t xml:space="preserve">საყოველთაო სამართლებრივი პრინციპების</w:t>
      </w:r>
      <w:r>
        <w:rPr>
          <w:lang w:val="ka"/>
        </w:rPr>
        <w:t xml:space="preserve"> </w:t>
      </w:r>
      <w:r>
        <w:rPr>
          <w:lang w:val="ka"/>
        </w:rPr>
        <w:t xml:space="preserve">განუყოფელი ნაწილია, რომლებსაც მართლმსაჯულების სასამართლო იცავს. ამ უფლებების დაცვა, რომელიც წევრი სახელმწიფოების</w:t>
      </w:r>
      <w:r>
        <w:rPr>
          <w:lang w:val="ka"/>
        </w:rPr>
        <w:t xml:space="preserve"> </w:t>
      </w:r>
      <w:r>
        <w:rPr>
          <w:b/>
          <w:bCs/>
          <w:lang w:val="ka"/>
        </w:rPr>
        <w:t xml:space="preserve">საერთო კონსტიტუციური ტრადიციებიდან</w:t>
      </w:r>
      <w:r>
        <w:rPr>
          <w:lang w:val="ka"/>
        </w:rPr>
        <w:t xml:space="preserve"> </w:t>
      </w:r>
      <w:r>
        <w:rPr>
          <w:lang w:val="ka"/>
        </w:rPr>
        <w:t xml:space="preserve">მომდინარეობს, გაერთიანების სტრუქტურისა და მიზნების ფარგლებში უნდა იყოს უზრუნველყოფილი.“</w:t>
      </w:r>
    </w:p>
    <w:p>
      <w:pPr>
        <w:pStyle w:val="BlockText"/>
      </w:pPr>
      <w:r>
        <w:rPr>
          <w:i/>
          <w:iCs/>
          <w:lang w:val="ka"/>
        </w:rPr>
        <w:t xml:space="preserve">ორიგინალი:</w:t>
      </w:r>
      <w:r>
        <w:rPr>
          <w:lang w:val="ka"/>
        </w:rPr>
        <w:t xml:space="preserve"> </w:t>
      </w:r>
      <w:r>
        <w:rPr>
          <w:lang w:val="ka"/>
        </w:rPr>
        <w:t xml:space="preserve">„In fact, respect for fundamental rights forms an integral part of the general principles of law protected by the Court of Justice. The protection of such rights, whilst inspired by the constitutional traditions common to the Member States, must be ensured within the framework of the structure and objectives of the Community.“</w:t>
      </w:r>
    </w:p>
    <w:p>
      <w:pPr>
        <w:pStyle w:val="BlockText"/>
      </w:pPr>
      <w:r>
        <w:rPr>
          <w:lang w:val="ka"/>
        </w:rPr>
        <w:t xml:space="preserve">—</w:t>
      </w:r>
      <w:r>
        <w:rPr>
          <w:lang w:val="ka"/>
        </w:rPr>
        <w:t xml:space="preserve"> </w:t>
      </w:r>
      <w:r>
        <w:rPr>
          <w:i/>
          <w:iCs/>
          <w:lang w:val="ka"/>
        </w:rPr>
        <w:t xml:space="preserve">Case 11/70, Internationale Handelsgesellschaft, 17.12.1970, ECLI:EU:C:1970:114, პარ. 4, PDF გვ. 9</w:t>
      </w:r>
    </w:p>
    <w:p>
      <w:pPr>
        <w:pStyle w:val="FirstParagraph"/>
      </w:pPr>
      <w:r>
        <w:rPr>
          <w:lang w:val="ka"/>
        </w:rPr>
        <w:t xml:space="preserve">⚠️ იმავე გადაწყვეტილებაში (პარ. 3): გაერთიანების აქტის ძალას ვერ შეეხება ის, რომ ის</w:t>
      </w:r>
      <w:r>
        <w:rPr>
          <w:lang w:val="ka"/>
        </w:rPr>
        <w:t xml:space="preserve"> </w:t>
      </w:r>
      <w:r>
        <w:rPr>
          <w:b/>
          <w:bCs/>
          <w:lang w:val="ka"/>
        </w:rPr>
        <w:t xml:space="preserve">ეროვნული კონსტიტუციის</w:t>
      </w:r>
      <w:r>
        <w:rPr>
          <w:lang w:val="ka"/>
        </w:rPr>
        <w:t xml:space="preserve"> </w:t>
      </w:r>
      <w:r>
        <w:rPr>
          <w:lang w:val="ka"/>
        </w:rPr>
        <w:t xml:space="preserve">ძირითად უფლებებს ეწინააღმდეგება — ეს</w:t>
      </w:r>
      <w:r>
        <w:rPr>
          <w:lang w:val="ka"/>
        </w:rPr>
        <w:t xml:space="preserve"> </w:t>
      </w:r>
      <w:r>
        <w:rPr>
          <w:b/>
          <w:bCs/>
          <w:lang w:val="ka"/>
        </w:rPr>
        <w:t xml:space="preserve">პრიმატის</w:t>
      </w:r>
      <w:r>
        <w:rPr>
          <w:lang w:val="ka"/>
        </w:rPr>
        <w:t xml:space="preserve"> </w:t>
      </w:r>
      <w:r>
        <w:rPr>
          <w:lang w:val="ka"/>
        </w:rPr>
        <w:t xml:space="preserve">საკითხია (კვირა 7). სასამართლომ ერთდროულად თქვა „</w:t>
      </w:r>
      <w:r>
        <w:rPr>
          <w:b/>
          <w:bCs/>
          <w:lang w:val="ka"/>
        </w:rPr>
        <w:t xml:space="preserve">არა</w:t>
      </w:r>
      <w:r>
        <w:rPr>
          <w:lang w:val="ka"/>
        </w:rPr>
        <w:t xml:space="preserve">“ ეროვნულ კონსტიტუციას და „</w:t>
      </w:r>
      <w:r>
        <w:rPr>
          <w:b/>
          <w:bCs/>
          <w:lang w:val="ka"/>
        </w:rPr>
        <w:t xml:space="preserve">დიახ</w:t>
      </w:r>
      <w:r>
        <w:rPr>
          <w:lang w:val="ka"/>
        </w:rPr>
        <w:t xml:space="preserve">“ — უფლებებს, ოღონდ</w:t>
      </w:r>
      <w:r>
        <w:rPr>
          <w:lang w:val="ka"/>
        </w:rPr>
        <w:t xml:space="preserve"> </w:t>
      </w:r>
      <w:r>
        <w:rPr>
          <w:b/>
          <w:bCs/>
          <w:lang w:val="ka"/>
        </w:rPr>
        <w:t xml:space="preserve">ევროპულ</w:t>
      </w:r>
      <w:r>
        <w:rPr>
          <w:lang w:val="ka"/>
        </w:rPr>
        <w:t xml:space="preserve"> </w:t>
      </w:r>
      <w:r>
        <w:rPr>
          <w:lang w:val="ka"/>
        </w:rPr>
        <w:t xml:space="preserve">დონეზე.</w:t>
      </w:r>
    </w:p>
    <w:p>
      <w:pPr>
        <w:pStyle w:val="BodyText"/>
      </w:pPr>
      <w:r>
        <w:rPr>
          <w:lang w:val="ka"/>
        </w:rPr>
        <w:t xml:space="preserve">დღეს ეს ხელშეკრულებაშია: TEU 6(3) — ECHR-ის უფლებები და საერთო კონსტიტუციური ტრადიციები „shall constitute</w:t>
      </w:r>
      <w:r>
        <w:rPr>
          <w:lang w:val="ka"/>
        </w:rPr>
        <w:t xml:space="preserve"> </w:t>
      </w:r>
      <w:r>
        <w:rPr>
          <w:b/>
          <w:bCs/>
          <w:lang w:val="ka"/>
        </w:rPr>
        <w:t xml:space="preserve">general principles of the Union's law</w:t>
      </w:r>
      <w:r>
        <w:rPr>
          <w:lang w:val="ka"/>
        </w:rPr>
        <w:t xml:space="preserve">“. სხვა პრინციპები:</w:t>
      </w:r>
      <w:r>
        <w:rPr>
          <w:lang w:val="ka"/>
        </w:rPr>
        <w:t xml:space="preserve"> </w:t>
      </w:r>
      <w:r>
        <w:rPr>
          <w:b/>
          <w:bCs/>
          <w:lang w:val="ka"/>
        </w:rPr>
        <w:t xml:space="preserve">თანაზომიერება</w:t>
      </w:r>
      <w:r>
        <w:rPr>
          <w:lang w:val="ka"/>
        </w:rPr>
        <w:t xml:space="preserve"> </w:t>
      </w:r>
      <w:r>
        <w:rPr>
          <w:lang w:val="ka"/>
        </w:rPr>
        <w:t xml:space="preserve">(დღეს TEU 5(4)),</w:t>
      </w:r>
      <w:r>
        <w:rPr>
          <w:lang w:val="ka"/>
        </w:rPr>
        <w:t xml:space="preserve"> </w:t>
      </w:r>
      <w:r>
        <w:rPr>
          <w:b/>
          <w:bCs/>
          <w:lang w:val="ka"/>
        </w:rPr>
        <w:t xml:space="preserve">დასაბუთება</w:t>
      </w:r>
      <w:r>
        <w:rPr>
          <w:lang w:val="ka"/>
        </w:rPr>
        <w:t xml:space="preserve"> </w:t>
      </w:r>
      <w:r>
        <w:rPr>
          <w:lang w:val="ka"/>
        </w:rPr>
        <w:t xml:space="preserve">(TFEU 296),</w:t>
      </w:r>
      <w:r>
        <w:rPr>
          <w:lang w:val="ka"/>
        </w:rPr>
        <w:t xml:space="preserve"> </w:t>
      </w:r>
      <w:r>
        <w:rPr>
          <w:b/>
          <w:bCs/>
          <w:lang w:val="ka"/>
        </w:rPr>
        <w:t xml:space="preserve">კანონიერი ნდობა</w:t>
      </w:r>
      <w:r>
        <w:rPr>
          <w:lang w:val="ka"/>
        </w:rPr>
        <w:t xml:space="preserve">,</w:t>
      </w:r>
      <w:r>
        <w:rPr>
          <w:lang w:val="ka"/>
        </w:rPr>
        <w:t xml:space="preserve"> </w:t>
      </w:r>
      <w:r>
        <w:rPr>
          <w:b/>
          <w:bCs/>
          <w:lang w:val="ka"/>
        </w:rPr>
        <w:t xml:space="preserve">სამართლებრივი გარკვეულობა</w:t>
      </w:r>
      <w:r>
        <w:rPr>
          <w:lang w:val="ka"/>
        </w:rPr>
        <w:t xml:space="preserve">. 📊 → ცხრილი 4.</w:t>
      </w:r>
    </w:p>
    <w:p>
      <w:pPr>
        <w:pStyle w:val="BodyText"/>
      </w:pPr>
      <w:r>
        <w:rPr>
          <w:lang w:val="ka"/>
        </w:rPr>
        <w:t xml:space="preserve">გაბრიჩიძის მნიშვნელოვანი შენიშვნა: სასამართლო პრინციპს</w:t>
      </w:r>
      <w:r>
        <w:rPr>
          <w:lang w:val="ka"/>
        </w:rPr>
        <w:t xml:space="preserve"> </w:t>
      </w:r>
      <w:r>
        <w:rPr>
          <w:b/>
          <w:bCs/>
          <w:lang w:val="ka"/>
        </w:rPr>
        <w:t xml:space="preserve">არ „პოულობს“</w:t>
      </w:r>
      <w:r>
        <w:rPr>
          <w:lang w:val="ka"/>
        </w:rPr>
        <w:t xml:space="preserve"> </w:t>
      </w:r>
      <w:r>
        <w:rPr>
          <w:lang w:val="ka"/>
        </w:rPr>
        <w:t xml:space="preserve">სახელმწიფოების სამართალში — ის მას</w:t>
      </w:r>
      <w:r>
        <w:rPr>
          <w:lang w:val="ka"/>
        </w:rPr>
        <w:t xml:space="preserve"> </w:t>
      </w:r>
      <w:r>
        <w:rPr>
          <w:b/>
          <w:bCs/>
          <w:lang w:val="ka"/>
        </w:rPr>
        <w:t xml:space="preserve">ავითარებს</w:t>
      </w:r>
      <w:r>
        <w:rPr>
          <w:lang w:val="ka"/>
        </w:rPr>
        <w:t xml:space="preserve">; ეს „გარკვეულწილად,</w:t>
      </w:r>
      <w:r>
        <w:rPr>
          <w:lang w:val="ka"/>
        </w:rPr>
        <w:t xml:space="preserve"> </w:t>
      </w:r>
      <w:r>
        <w:rPr>
          <w:b/>
          <w:bCs/>
          <w:lang w:val="ka"/>
        </w:rPr>
        <w:t xml:space="preserve">სამართალშემოქმედებითი</w:t>
      </w:r>
      <w:r>
        <w:rPr>
          <w:lang w:val="ka"/>
        </w:rPr>
        <w:t xml:space="preserve"> </w:t>
      </w:r>
      <w:r>
        <w:rPr>
          <w:lang w:val="ka"/>
        </w:rPr>
        <w:t xml:space="preserve">ხასიათისაა“ (პარ. 275). შეადარეთ კვირა 5-ის თეზისს (პარ. 264).</w:t>
      </w:r>
    </w:p>
    <w:bookmarkEnd w:id="14"/>
    <w:bookmarkStart w:id="15" w:name="ხელშეკრულებები-კონსტიტუცია"/>
    <w:p>
      <w:pPr>
        <w:pStyle w:val="Heading2"/>
      </w:pPr>
      <w:r>
        <w:rPr>
          <w:lang w:val="ka"/>
        </w:rPr>
        <w:t xml:space="preserve">3. ხელშეკრულებები — „კონსტიტუცია“?</w:t>
      </w:r>
    </w:p>
    <w:p>
      <w:pPr>
        <w:pStyle w:val="FirstParagraph"/>
      </w:pPr>
      <w:r>
        <w:rPr>
          <w:lang w:val="ka"/>
        </w:rPr>
        <w:t xml:space="preserve">ფორმალურად — ხელშეკრულებებია. მაგრამ სასამართლომ EEC ხელშეკრულებას 1986 წელს უწოდა „</w:t>
      </w:r>
      <w:r>
        <w:rPr>
          <w:b/>
          <w:bCs/>
          <w:lang w:val="ka"/>
        </w:rPr>
        <w:t xml:space="preserve">the basic constitutional charter</w:t>
      </w:r>
      <w:r>
        <w:rPr>
          <w:lang w:val="ka"/>
        </w:rPr>
        <w:t xml:space="preserve">“ (</w:t>
      </w:r>
      <w:r>
        <w:rPr>
          <w:i/>
          <w:iCs/>
          <w:lang w:val="ka"/>
        </w:rPr>
        <w:t xml:space="preserve">Les Verts</w:t>
      </w:r>
      <w:r>
        <w:rPr>
          <w:lang w:val="ka"/>
        </w:rPr>
        <w:t xml:space="preserve">, პარ. 23); გაბრიჩიძე ჩამოთვლის „კონსტიტუციის“ ნიშნებს: ცალკე დოკუმენტი,</w:t>
      </w:r>
      <w:r>
        <w:rPr>
          <w:lang w:val="ka"/>
        </w:rPr>
        <w:t xml:space="preserve"> </w:t>
      </w:r>
      <w:r>
        <w:rPr>
          <w:b/>
          <w:bCs/>
          <w:lang w:val="ka"/>
        </w:rPr>
        <w:t xml:space="preserve">უვადო</w:t>
      </w:r>
      <w:r>
        <w:rPr>
          <w:lang w:val="ka"/>
        </w:rPr>
        <w:t xml:space="preserve">, მიზნები, უფლებამოსილებები, ღირებულებები, სამართლებრივი დაცვა, და</w:t>
      </w:r>
      <w:r>
        <w:rPr>
          <w:lang w:val="ka"/>
        </w:rPr>
        <w:t xml:space="preserve"> </w:t>
      </w:r>
      <w:r>
        <w:rPr>
          <w:b/>
          <w:bCs/>
          <w:lang w:val="ka"/>
        </w:rPr>
        <w:t xml:space="preserve">ვერავინ ცვლის ცალმხრივად</w:t>
      </w:r>
      <w:r>
        <w:rPr>
          <w:lang w:val="ka"/>
        </w:rPr>
        <w:t xml:space="preserve"> </w:t>
      </w:r>
      <w:r>
        <w:rPr>
          <w:lang w:val="ka"/>
        </w:rPr>
        <w:t xml:space="preserve">→ პირველად სამართალს „</w:t>
      </w:r>
      <w:r>
        <w:rPr>
          <w:b/>
          <w:bCs/>
          <w:lang w:val="ka"/>
        </w:rPr>
        <w:t xml:space="preserve">საკონსტიტუციო სტრუქტურა და ბუნება</w:t>
      </w:r>
      <w:r>
        <w:rPr>
          <w:lang w:val="ka"/>
        </w:rPr>
        <w:t xml:space="preserve"> </w:t>
      </w:r>
      <w:r>
        <w:rPr>
          <w:lang w:val="ka"/>
        </w:rPr>
        <w:t xml:space="preserve">აქვს“ (პარ. 280–282).</w:t>
      </w:r>
    </w:p>
    <w:p>
      <w:r>
        <w:pict>
          <v:rect style="width:0;height:1.5pt" o:hralign="center" o:hrstd="t" o:hr="t"/>
        </w:pict>
      </w:r>
    </w:p>
    <w:bookmarkEnd w:id="15"/>
    <w:bookmarkEnd w:id="16"/>
    <w:bookmarkStart w:id="23" w:name="iii.-მეორადი-სამართალი-tfeu-288"/>
    <w:p>
      <w:pPr>
        <w:pStyle w:val="Heading1"/>
      </w:pPr>
      <w:r>
        <w:rPr>
          <w:lang w:val="ka"/>
        </w:rPr>
        <w:t xml:space="preserve">III. მეორადი სამართალი: TFEU 288</w:t>
      </w:r>
    </w:p>
    <w:p>
      <w:pPr>
        <w:pStyle w:val="BlockText"/>
      </w:pPr>
      <w:r>
        <w:rPr>
          <w:lang w:val="ka"/>
        </w:rPr>
        <w:t xml:space="preserve">„ევროკავშირის კომპეტენციების განსახორციელებლად ორგანოები იღებენ</w:t>
      </w:r>
      <w:r>
        <w:rPr>
          <w:lang w:val="ka"/>
        </w:rPr>
        <w:t xml:space="preserve"> </w:t>
      </w:r>
      <w:r>
        <w:rPr>
          <w:b/>
          <w:bCs/>
          <w:lang w:val="ka"/>
        </w:rPr>
        <w:t xml:space="preserve">რეგულაციებს, დირექტივებს, გადაწყვეტილებებს, რეკომენდაციებსა და დასკვნებს</w:t>
      </w:r>
      <w:r>
        <w:rPr>
          <w:lang w:val="ka"/>
        </w:rPr>
        <w:t xml:space="preserve">.</w:t>
      </w:r>
    </w:p>
    <w:p>
      <w:pPr>
        <w:pStyle w:val="BlockText"/>
      </w:pPr>
      <w:r>
        <w:rPr>
          <w:lang w:val="ka"/>
        </w:rPr>
        <w:t xml:space="preserve">რეგულაციას აქვს</w:t>
      </w:r>
      <w:r>
        <w:rPr>
          <w:lang w:val="ka"/>
        </w:rPr>
        <w:t xml:space="preserve"> </w:t>
      </w:r>
      <w:r>
        <w:rPr>
          <w:b/>
          <w:bCs/>
          <w:lang w:val="ka"/>
        </w:rPr>
        <w:t xml:space="preserve">ზოგადი მოქმედება</w:t>
      </w:r>
      <w:r>
        <w:rPr>
          <w:lang w:val="ka"/>
        </w:rPr>
        <w:t xml:space="preserve">. ის</w:t>
      </w:r>
      <w:r>
        <w:rPr>
          <w:lang w:val="ka"/>
        </w:rPr>
        <w:t xml:space="preserve"> </w:t>
      </w:r>
      <w:r>
        <w:rPr>
          <w:b/>
          <w:bCs/>
          <w:lang w:val="ka"/>
        </w:rPr>
        <w:t xml:space="preserve">სრულად სავალდებულოა</w:t>
      </w:r>
      <w:r>
        <w:rPr>
          <w:lang w:val="ka"/>
        </w:rPr>
        <w:t xml:space="preserve"> </w:t>
      </w:r>
      <w:r>
        <w:rPr>
          <w:lang w:val="ka"/>
        </w:rPr>
        <w:t xml:space="preserve">და</w:t>
      </w:r>
      <w:r>
        <w:rPr>
          <w:lang w:val="ka"/>
        </w:rPr>
        <w:t xml:space="preserve"> </w:t>
      </w:r>
      <w:r>
        <w:rPr>
          <w:b/>
          <w:bCs/>
          <w:lang w:val="ka"/>
        </w:rPr>
        <w:t xml:space="preserve">უშუალოდ გამოიყენება</w:t>
      </w:r>
      <w:r>
        <w:rPr>
          <w:lang w:val="ka"/>
        </w:rPr>
        <w:t xml:space="preserve"> </w:t>
      </w:r>
      <w:r>
        <w:rPr>
          <w:lang w:val="ka"/>
        </w:rPr>
        <w:t xml:space="preserve">ყველა წევრ სახელმწიფოში.</w:t>
      </w:r>
    </w:p>
    <w:p>
      <w:pPr>
        <w:pStyle w:val="BlockText"/>
      </w:pPr>
      <w:r>
        <w:rPr>
          <w:lang w:val="ka"/>
        </w:rPr>
        <w:t xml:space="preserve">დირექტივა სავალდებულოა</w:t>
      </w:r>
      <w:r>
        <w:rPr>
          <w:lang w:val="ka"/>
        </w:rPr>
        <w:t xml:space="preserve"> </w:t>
      </w:r>
      <w:r>
        <w:rPr>
          <w:b/>
          <w:bCs/>
          <w:lang w:val="ka"/>
        </w:rPr>
        <w:t xml:space="preserve">მისაღწევი შედეგის</w:t>
      </w:r>
      <w:r>
        <w:rPr>
          <w:lang w:val="ka"/>
        </w:rPr>
        <w:t xml:space="preserve"> </w:t>
      </w:r>
      <w:r>
        <w:rPr>
          <w:lang w:val="ka"/>
        </w:rPr>
        <w:t xml:space="preserve">თვალსაზრისით ყველა იმ წევრი სახელმწიფოსთვის, რომელსაც ის მიემართება, მაგრამ</w:t>
      </w:r>
      <w:r>
        <w:rPr>
          <w:lang w:val="ka"/>
        </w:rPr>
        <w:t xml:space="preserve"> </w:t>
      </w:r>
      <w:r>
        <w:rPr>
          <w:b/>
          <w:bCs/>
          <w:lang w:val="ka"/>
        </w:rPr>
        <w:t xml:space="preserve">ფორმისა და მეთოდების არჩევანს</w:t>
      </w:r>
      <w:r>
        <w:rPr>
          <w:lang w:val="ka"/>
        </w:rPr>
        <w:t xml:space="preserve"> </w:t>
      </w:r>
      <w:r>
        <w:rPr>
          <w:lang w:val="ka"/>
        </w:rPr>
        <w:t xml:space="preserve">ეროვნულ ხელისუფლებას უტოვებს.</w:t>
      </w:r>
    </w:p>
    <w:p>
      <w:pPr>
        <w:pStyle w:val="BlockText"/>
      </w:pPr>
      <w:r>
        <w:rPr>
          <w:lang w:val="ka"/>
        </w:rPr>
        <w:t xml:space="preserve">გადაწყვეტილება სრულად სავალდებულოა. გადაწყვეტილება, რომელიც ადრესატებს ასახელებს, სავალდებულოა</w:t>
      </w:r>
      <w:r>
        <w:rPr>
          <w:lang w:val="ka"/>
        </w:rPr>
        <w:t xml:space="preserve"> </w:t>
      </w:r>
      <w:r>
        <w:rPr>
          <w:b/>
          <w:bCs/>
          <w:lang w:val="ka"/>
        </w:rPr>
        <w:t xml:space="preserve">მხოლოდ მათთვის</w:t>
      </w:r>
      <w:r>
        <w:rPr>
          <w:lang w:val="ka"/>
        </w:rPr>
        <w:t xml:space="preserve">.</w:t>
      </w:r>
    </w:p>
    <w:p>
      <w:pPr>
        <w:pStyle w:val="BlockText"/>
      </w:pPr>
      <w:r>
        <w:rPr>
          <w:lang w:val="ka"/>
        </w:rPr>
        <w:t xml:space="preserve">რეკომენდაციებსა და დასკვნებს</w:t>
      </w:r>
      <w:r>
        <w:rPr>
          <w:lang w:val="ka"/>
        </w:rPr>
        <w:t xml:space="preserve"> </w:t>
      </w:r>
      <w:r>
        <w:rPr>
          <w:b/>
          <w:bCs/>
          <w:lang w:val="ka"/>
        </w:rPr>
        <w:t xml:space="preserve">სავალდებულო ძალა არ აქვს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„To exercise the Union's competences, the institutions shall adopt regulations, directives, decisions, recommendations and opinions. / A regulation shall have general application. It shall be binding in its entirety and directly applicable in all Member States. / A directive shall be binding, as to the result to be achieved, upon each Member State to which it is addressed, but shall leave to the national authorities the choice of form and methods. / A decision shall be binding in its entirety. A decision which specifies those to whom it is addressed shall be binding only on them. / Recommendations and opinions shall have no binding force.“</w:t>
      </w:r>
    </w:p>
    <w:p>
      <w:pPr>
        <w:pStyle w:val="BlockText"/>
      </w:pPr>
      <w:r>
        <w:rPr>
          <w:lang w:val="ka"/>
        </w:rPr>
        <w:t xml:space="preserve">—</w:t>
      </w:r>
      <w:r>
        <w:rPr>
          <w:lang w:val="ka"/>
        </w:rPr>
        <w:t xml:space="preserve"> </w:t>
      </w:r>
      <w:r>
        <w:rPr>
          <w:i/>
          <w:iCs/>
          <w:lang w:val="ka"/>
        </w:rPr>
        <w:t xml:space="preserve">TFEU მუხ. 288, PDF გვ. 166–167</w:t>
      </w:r>
    </w:p>
    <w:p>
      <w:pPr>
        <w:pStyle w:val="FirstParagraph"/>
      </w:pPr>
      <w:r>
        <w:rPr>
          <w:lang w:val="ka"/>
        </w:rPr>
        <w:t xml:space="preserve">ისწავლეთ</w:t>
      </w:r>
      <w:r>
        <w:rPr>
          <w:lang w:val="ka"/>
        </w:rPr>
        <w:t xml:space="preserve"> </w:t>
      </w:r>
      <w:r>
        <w:rPr>
          <w:b/>
          <w:bCs/>
          <w:lang w:val="ka"/>
        </w:rPr>
        <w:t xml:space="preserve">ზეპირად</w:t>
      </w:r>
      <w:r>
        <w:rPr>
          <w:lang w:val="ka"/>
        </w:rPr>
        <w:t xml:space="preserve"> </w:t>
      </w:r>
      <w:r>
        <w:rPr>
          <w:lang w:val="ka"/>
        </w:rPr>
        <w:t xml:space="preserve">— ეს მუხლი ყველა შემდეგ კვირაში დაგვჭირდება. 📊 → ცხრილი 2.</w:t>
      </w:r>
    </w:p>
    <w:bookmarkStart w:id="17" w:name="რეგულაცია-ევროპული-კანონი"/>
    <w:p>
      <w:pPr>
        <w:pStyle w:val="Heading2"/>
      </w:pPr>
      <w:r>
        <w:rPr>
          <w:lang w:val="ka"/>
        </w:rPr>
        <w:t xml:space="preserve">1. რეგულაცია — „ევროპული კანონი“</w:t>
      </w:r>
    </w:p>
    <w:p>
      <w:pPr>
        <w:pStyle w:val="FirstParagraph"/>
      </w:pPr>
      <w:r>
        <w:rPr>
          <w:lang w:val="ka"/>
        </w:rPr>
        <w:t xml:space="preserve">სამი ნიშანი (გაბრიჩიძე, პარ. 289–291):</w:t>
      </w:r>
      <w:r>
        <w:rPr>
          <w:lang w:val="ka"/>
        </w:rPr>
        <w:t xml:space="preserve"> </w:t>
      </w:r>
      <w:r>
        <w:rPr>
          <w:b/>
          <w:bCs/>
          <w:lang w:val="ka"/>
        </w:rPr>
        <w:t xml:space="preserve">ზოგადი</w:t>
      </w:r>
      <w:r>
        <w:rPr>
          <w:lang w:val="ka"/>
        </w:rPr>
        <w:t xml:space="preserve"> </w:t>
      </w:r>
      <w:r>
        <w:rPr>
          <w:lang w:val="ka"/>
        </w:rPr>
        <w:t xml:space="preserve">(განუსაზღვრელ პირთა წრეზე),</w:t>
      </w:r>
      <w:r>
        <w:rPr>
          <w:lang w:val="ka"/>
        </w:rPr>
        <w:t xml:space="preserve"> </w:t>
      </w:r>
      <w:r>
        <w:rPr>
          <w:b/>
          <w:bCs/>
          <w:lang w:val="ka"/>
        </w:rPr>
        <w:t xml:space="preserve">სრულად</w:t>
      </w:r>
      <w:r>
        <w:rPr>
          <w:lang w:val="ka"/>
        </w:rPr>
        <w:t xml:space="preserve"> </w:t>
      </w:r>
      <w:r>
        <w:rPr>
          <w:lang w:val="ka"/>
        </w:rPr>
        <w:t xml:space="preserve">სავალდებულო (სახელმწიფო ვერ მიიღებს საწინააღმდეგო აქტს),</w:t>
      </w:r>
      <w:r>
        <w:rPr>
          <w:lang w:val="ka"/>
        </w:rPr>
        <w:t xml:space="preserve"> </w:t>
      </w:r>
      <w:r>
        <w:rPr>
          <w:b/>
          <w:bCs/>
          <w:lang w:val="ka"/>
        </w:rPr>
        <w:t xml:space="preserve">უშუალოდ გამოყენებადი</w:t>
      </w:r>
      <w:r>
        <w:rPr>
          <w:lang w:val="ka"/>
        </w:rPr>
        <w:t xml:space="preserve"> </w:t>
      </w:r>
      <w:r>
        <w:rPr>
          <w:lang w:val="ka"/>
        </w:rPr>
        <w:t xml:space="preserve">(ეროვნული აქტი</w:t>
      </w:r>
      <w:r>
        <w:rPr>
          <w:lang w:val="ka"/>
        </w:rPr>
        <w:t xml:space="preserve"> </w:t>
      </w:r>
      <w:r>
        <w:rPr>
          <w:b/>
          <w:bCs/>
          <w:lang w:val="ka"/>
        </w:rPr>
        <w:t xml:space="preserve">არ</w:t>
      </w:r>
      <w:r>
        <w:rPr>
          <w:lang w:val="ka"/>
        </w:rPr>
        <w:t xml:space="preserve"> </w:t>
      </w:r>
      <w:r>
        <w:rPr>
          <w:lang w:val="ka"/>
        </w:rPr>
        <w:t xml:space="preserve">სჭირდება). ის</w:t>
      </w:r>
      <w:r>
        <w:rPr>
          <w:lang w:val="ka"/>
        </w:rPr>
        <w:t xml:space="preserve"> </w:t>
      </w:r>
      <w:r>
        <w:rPr>
          <w:b/>
          <w:bCs/>
          <w:lang w:val="ka"/>
        </w:rPr>
        <w:t xml:space="preserve">ყველას</w:t>
      </w:r>
      <w:r>
        <w:rPr>
          <w:lang w:val="ka"/>
        </w:rPr>
        <w:t xml:space="preserve"> </w:t>
      </w:r>
      <w:r>
        <w:rPr>
          <w:lang w:val="ka"/>
        </w:rPr>
        <w:t xml:space="preserve">ავალდებულებს — სახელმწიფოს, ორგანოს, კერძო პირს (პარ. 294).</w:t>
      </w:r>
    </w:p>
    <w:bookmarkEnd w:id="17"/>
    <w:bookmarkStart w:id="18" w:name="Xf3f9d1954157981a1e58ce3a624b7bf0834625c"/>
    <w:p>
      <w:pPr>
        <w:pStyle w:val="Heading2"/>
      </w:pPr>
      <w:r>
        <w:rPr>
          <w:lang w:val="ka"/>
        </w:rPr>
        <w:t xml:space="preserve">2. დირექტივა — მიზანი ევროკავშირიდან, საშუალება — სახელმწიფოსგან</w:t>
      </w:r>
    </w:p>
    <w:p>
      <w:pPr>
        <w:pStyle w:val="FirstParagraph"/>
      </w:pPr>
      <w:r>
        <w:rPr>
          <w:lang w:val="ka"/>
        </w:rPr>
        <w:t xml:space="preserve">დირექტივა ორ საფეხურად მუშაობს: ევროკავშირი ადგენს</w:t>
      </w:r>
      <w:r>
        <w:rPr>
          <w:lang w:val="ka"/>
        </w:rPr>
        <w:t xml:space="preserve"> </w:t>
      </w:r>
      <w:r>
        <w:rPr>
          <w:b/>
          <w:bCs/>
          <w:lang w:val="ka"/>
        </w:rPr>
        <w:t xml:space="preserve">მიზანს და ჩარჩოს</w:t>
      </w:r>
      <w:r>
        <w:rPr>
          <w:lang w:val="ka"/>
        </w:rPr>
        <w:t xml:space="preserve">, სახელმწიფო —</w:t>
      </w:r>
      <w:r>
        <w:rPr>
          <w:lang w:val="ka"/>
        </w:rPr>
        <w:t xml:space="preserve"> </w:t>
      </w:r>
      <w:r>
        <w:rPr>
          <w:b/>
          <w:bCs/>
          <w:lang w:val="ka"/>
        </w:rPr>
        <w:t xml:space="preserve">ფორმასა და საშუალებას</w:t>
      </w:r>
      <w:r>
        <w:rPr>
          <w:lang w:val="ka"/>
        </w:rPr>
        <w:t xml:space="preserve"> </w:t>
      </w:r>
      <w:r>
        <w:rPr>
          <w:lang w:val="ka"/>
        </w:rPr>
        <w:t xml:space="preserve">ეროვნული აქტით (პარ. 299). ჩვეულებრივ —</w:t>
      </w:r>
      <w:r>
        <w:rPr>
          <w:lang w:val="ka"/>
        </w:rPr>
        <w:t xml:space="preserve"> </w:t>
      </w:r>
      <w:r>
        <w:rPr>
          <w:b/>
          <w:bCs/>
          <w:lang w:val="ka"/>
        </w:rPr>
        <w:t xml:space="preserve">ჰარმონიზაციის</w:t>
      </w:r>
      <w:r>
        <w:rPr>
          <w:lang w:val="ka"/>
        </w:rPr>
        <w:t xml:space="preserve"> </w:t>
      </w:r>
      <w:r>
        <w:rPr>
          <w:lang w:val="ka"/>
        </w:rPr>
        <w:t xml:space="preserve">იარაღია, ხშირად</w:t>
      </w:r>
      <w:r>
        <w:rPr>
          <w:lang w:val="ka"/>
        </w:rPr>
        <w:t xml:space="preserve"> </w:t>
      </w:r>
      <w:r>
        <w:rPr>
          <w:b/>
          <w:bCs/>
          <w:lang w:val="ka"/>
        </w:rPr>
        <w:t xml:space="preserve">მინიმალური სტანდარტით</w:t>
      </w:r>
      <w:r>
        <w:rPr>
          <w:lang w:val="ka"/>
        </w:rPr>
        <w:t xml:space="preserve"> </w:t>
      </w:r>
      <w:r>
        <w:rPr>
          <w:lang w:val="ka"/>
        </w:rPr>
        <w:t xml:space="preserve">(პარ. 300). ვადა იმპლემენტაციისთვის — თავად დირექტივაში, როგორც წესი</w:t>
      </w:r>
      <w:r>
        <w:rPr>
          <w:lang w:val="ka"/>
        </w:rPr>
        <w:t xml:space="preserve"> </w:t>
      </w:r>
      <w:r>
        <w:rPr>
          <w:b/>
          <w:bCs/>
          <w:lang w:val="ka"/>
        </w:rPr>
        <w:t xml:space="preserve">≤ 2 წელი</w:t>
      </w:r>
      <w:r>
        <w:rPr>
          <w:lang w:val="ka"/>
        </w:rPr>
        <w:t xml:space="preserve"> </w:t>
      </w:r>
      <w:r>
        <w:rPr>
          <w:lang w:val="ka"/>
        </w:rPr>
        <w:t xml:space="preserve">(პარ. 303).</w:t>
      </w:r>
    </w:p>
    <w:p>
      <w:pPr>
        <w:pStyle w:val="BodyText"/>
      </w:pPr>
      <w:r>
        <w:rPr>
          <w:lang w:val="ka"/>
        </w:rPr>
        <w:t xml:space="preserve">სახელმწიფოს ვალდებულება ეყრდნობა TFEU 291(1)-ს: „Member States shall adopt all measures of national law necessary to implement legally binding Union acts“ (PDF 168). რას ითხოვს სასამართლო (გაბრიჩიძე, პარ. 305–309):</w:t>
      </w:r>
    </w:p>
    <w:p>
      <w:pPr>
        <w:pStyle w:val="Compact"/>
        <w:numPr>
          <w:ilvl w:val="0"/>
          <w:numId w:val="1001"/>
        </w:numPr>
      </w:pPr>
      <w:r>
        <w:rPr>
          <w:lang w:val="ka"/>
        </w:rPr>
        <w:t xml:space="preserve">აქტს</w:t>
      </w:r>
      <w:r>
        <w:rPr>
          <w:lang w:val="ka"/>
        </w:rPr>
        <w:t xml:space="preserve"> </w:t>
      </w:r>
      <w:r>
        <w:rPr>
          <w:b/>
          <w:bCs/>
          <w:lang w:val="ka"/>
        </w:rPr>
        <w:t xml:space="preserve">სავალდებულო ძალა</w:t>
      </w:r>
      <w:r>
        <w:rPr>
          <w:lang w:val="ka"/>
        </w:rPr>
        <w:t xml:space="preserve"> </w:t>
      </w:r>
      <w:r>
        <w:rPr>
          <w:lang w:val="ka"/>
        </w:rPr>
        <w:t xml:space="preserve">უნდა ჰქონდეს — ადმინისტრაციული</w:t>
      </w:r>
      <w:r>
        <w:rPr>
          <w:lang w:val="ka"/>
        </w:rPr>
        <w:t xml:space="preserve"> </w:t>
      </w:r>
      <w:r>
        <w:rPr>
          <w:b/>
          <w:bCs/>
          <w:lang w:val="ka"/>
        </w:rPr>
        <w:t xml:space="preserve">პრაქტიკა</w:t>
      </w:r>
      <w:r>
        <w:rPr>
          <w:lang w:val="ka"/>
        </w:rPr>
        <w:t xml:space="preserve"> </w:t>
      </w:r>
      <w:r>
        <w:rPr>
          <w:lang w:val="ka"/>
        </w:rPr>
        <w:t xml:space="preserve">ან</w:t>
      </w:r>
      <w:r>
        <w:rPr>
          <w:lang w:val="ka"/>
        </w:rPr>
        <w:t xml:space="preserve"> </w:t>
      </w:r>
      <w:r>
        <w:rPr>
          <w:b/>
          <w:bCs/>
          <w:lang w:val="ka"/>
        </w:rPr>
        <w:t xml:space="preserve">ინსტრუქცია</w:t>
      </w:r>
      <w:r>
        <w:rPr>
          <w:lang w:val="ka"/>
        </w:rPr>
        <w:t xml:space="preserve"> </w:t>
      </w:r>
      <w:r>
        <w:rPr>
          <w:lang w:val="ka"/>
        </w:rPr>
        <w:t xml:space="preserve">არ კმარა;</w:t>
      </w:r>
    </w:p>
    <w:p>
      <w:pPr>
        <w:pStyle w:val="Compact"/>
        <w:numPr>
          <w:ilvl w:val="0"/>
          <w:numId w:val="1001"/>
        </w:numPr>
      </w:pPr>
      <w:r>
        <w:rPr>
          <w:b/>
          <w:bCs/>
          <w:lang w:val="ka"/>
        </w:rPr>
        <w:t xml:space="preserve">ნაწილობრივი</w:t>
      </w:r>
      <w:r>
        <w:rPr>
          <w:lang w:val="ka"/>
        </w:rPr>
        <w:t xml:space="preserve"> </w:t>
      </w:r>
      <w:r>
        <w:rPr>
          <w:lang w:val="ka"/>
        </w:rPr>
        <w:t xml:space="preserve">ან ტერიტორიის</w:t>
      </w:r>
      <w:r>
        <w:rPr>
          <w:lang w:val="ka"/>
        </w:rPr>
        <w:t xml:space="preserve"> </w:t>
      </w:r>
      <w:r>
        <w:rPr>
          <w:b/>
          <w:bCs/>
          <w:lang w:val="ka"/>
        </w:rPr>
        <w:t xml:space="preserve">ნაწილზე</w:t>
      </w:r>
      <w:r>
        <w:rPr>
          <w:lang w:val="ka"/>
        </w:rPr>
        <w:t xml:space="preserve"> </w:t>
      </w:r>
      <w:r>
        <w:rPr>
          <w:lang w:val="ka"/>
        </w:rPr>
        <w:t xml:space="preserve">გავრცელებული იმპლემენტაცია — არ კმარა;</w:t>
      </w:r>
    </w:p>
    <w:p>
      <w:pPr>
        <w:pStyle w:val="Compact"/>
        <w:numPr>
          <w:ilvl w:val="0"/>
          <w:numId w:val="1001"/>
        </w:numPr>
      </w:pPr>
      <w:r>
        <w:rPr>
          <w:lang w:val="ka"/>
        </w:rPr>
        <w:t xml:space="preserve">თუ ეროვნული სამართალი</w:t>
      </w:r>
      <w:r>
        <w:rPr>
          <w:lang w:val="ka"/>
        </w:rPr>
        <w:t xml:space="preserve"> </w:t>
      </w:r>
      <w:r>
        <w:rPr>
          <w:b/>
          <w:bCs/>
          <w:lang w:val="ka"/>
        </w:rPr>
        <w:t xml:space="preserve">უკვე</w:t>
      </w:r>
      <w:r>
        <w:rPr>
          <w:lang w:val="ka"/>
        </w:rPr>
        <w:t xml:space="preserve"> </w:t>
      </w:r>
      <w:r>
        <w:rPr>
          <w:lang w:val="ka"/>
        </w:rPr>
        <w:t xml:space="preserve">სრულად შეესაბამება — დამატებითი აქტი არ სჭირდება;</w:t>
      </w:r>
    </w:p>
    <w:p>
      <w:pPr>
        <w:pStyle w:val="Compact"/>
        <w:numPr>
          <w:ilvl w:val="0"/>
          <w:numId w:val="1001"/>
        </w:numPr>
      </w:pPr>
      <w:r>
        <w:rPr>
          <w:b/>
          <w:bCs/>
          <w:lang w:val="ka"/>
        </w:rPr>
        <w:t xml:space="preserve">ვადამდეც</w:t>
      </w:r>
      <w:r>
        <w:rPr>
          <w:lang w:val="ka"/>
        </w:rPr>
        <w:t xml:space="preserve"> </w:t>
      </w:r>
      <w:r>
        <w:rPr>
          <w:lang w:val="ka"/>
        </w:rPr>
        <w:t xml:space="preserve">კი სახელმწიფომ არ უნდა მიიღოს აქტი, რომელიც დირექტივის მიზანს „სერიოზულ საფრთხეს“ შეუქმნის (</w:t>
      </w:r>
      <w:r>
        <w:rPr>
          <w:i/>
          <w:iCs/>
          <w:lang w:val="ka"/>
        </w:rPr>
        <w:t xml:space="preserve">Inter-Environnement Wallonie</w:t>
      </w:r>
      <w:r>
        <w:rPr>
          <w:lang w:val="ka"/>
        </w:rPr>
        <w:t xml:space="preserve">, C-129/96 — TFEU 288 + TEU 4(3)).</w:t>
      </w:r>
    </w:p>
    <w:p>
      <w:pPr>
        <w:pStyle w:val="FirstParagraph"/>
      </w:pPr>
      <w:r>
        <w:rPr>
          <w:lang w:val="ka"/>
        </w:rPr>
        <w:t xml:space="preserve">ვადის დარღვევისას: კომისიის სარჩელი (</w:t>
      </w:r>
      <w:r>
        <w:rPr>
          <w:b/>
          <w:bCs/>
          <w:lang w:val="ka"/>
        </w:rPr>
        <w:t xml:space="preserve">258</w:t>
      </w:r>
      <w:r>
        <w:rPr>
          <w:lang w:val="ka"/>
        </w:rPr>
        <w:t xml:space="preserve">), ხოლო თუ სახელმწიფომ ღონისძიებების შესახებ</w:t>
      </w:r>
      <w:r>
        <w:rPr>
          <w:lang w:val="ka"/>
        </w:rPr>
        <w:t xml:space="preserve"> </w:t>
      </w:r>
      <w:r>
        <w:rPr>
          <w:b/>
          <w:bCs/>
          <w:lang w:val="ka"/>
        </w:rPr>
        <w:t xml:space="preserve">არც კი შეატყობინა</w:t>
      </w:r>
      <w:r>
        <w:rPr>
          <w:lang w:val="ka"/>
        </w:rPr>
        <w:t xml:space="preserve"> </w:t>
      </w:r>
      <w:r>
        <w:rPr>
          <w:lang w:val="ka"/>
        </w:rPr>
        <w:t xml:space="preserve">— ჯარიმა უკვე</w:t>
      </w:r>
      <w:r>
        <w:rPr>
          <w:lang w:val="ka"/>
        </w:rPr>
        <w:t xml:space="preserve"> </w:t>
      </w:r>
      <w:r>
        <w:rPr>
          <w:b/>
          <w:bCs/>
          <w:lang w:val="ka"/>
        </w:rPr>
        <w:t xml:space="preserve">პირველ</w:t>
      </w:r>
      <w:r>
        <w:rPr>
          <w:lang w:val="ka"/>
        </w:rPr>
        <w:t xml:space="preserve"> </w:t>
      </w:r>
      <w:r>
        <w:rPr>
          <w:lang w:val="ka"/>
        </w:rPr>
        <w:t xml:space="preserve">გადაწყვეტილებაში (</w:t>
      </w:r>
      <w:r>
        <w:rPr>
          <w:b/>
          <w:bCs/>
          <w:lang w:val="ka"/>
        </w:rPr>
        <w:t xml:space="preserve">260(3)</w:t>
      </w:r>
      <w:r>
        <w:rPr>
          <w:lang w:val="ka"/>
        </w:rPr>
        <w:t xml:space="preserve">, PDF 156). პირებისთვის — სამი „ხიდი“:</w:t>
      </w:r>
      <w:r>
        <w:rPr>
          <w:lang w:val="ka"/>
        </w:rPr>
        <w:t xml:space="preserve"> </w:t>
      </w:r>
      <w:r>
        <w:rPr>
          <w:b/>
          <w:bCs/>
          <w:lang w:val="ka"/>
        </w:rPr>
        <w:t xml:space="preserve">უშუალო გამოყენება</w:t>
      </w:r>
      <w:r>
        <w:rPr>
          <w:lang w:val="ka"/>
        </w:rPr>
        <w:t xml:space="preserve"> </w:t>
      </w:r>
      <w:r>
        <w:rPr>
          <w:lang w:val="ka"/>
        </w:rPr>
        <w:t xml:space="preserve">(სახელმწიფოს წინააღმდეგ),</w:t>
      </w:r>
      <w:r>
        <w:rPr>
          <w:lang w:val="ka"/>
        </w:rPr>
        <w:t xml:space="preserve"> </w:t>
      </w:r>
      <w:r>
        <w:rPr>
          <w:b/>
          <w:bCs/>
          <w:lang w:val="ka"/>
        </w:rPr>
        <w:t xml:space="preserve">შესაბამისი განმარტება</w:t>
      </w:r>
      <w:r>
        <w:rPr>
          <w:lang w:val="ka"/>
        </w:rPr>
        <w:t xml:space="preserve">,</w:t>
      </w:r>
      <w:r>
        <w:rPr>
          <w:lang w:val="ka"/>
        </w:rPr>
        <w:t xml:space="preserve"> </w:t>
      </w:r>
      <w:r>
        <w:rPr>
          <w:b/>
          <w:bCs/>
          <w:lang w:val="ka"/>
        </w:rPr>
        <w:t xml:space="preserve">სახელმწიფოს პასუხისმგებლობა</w:t>
      </w:r>
      <w:r>
        <w:rPr>
          <w:lang w:val="ka"/>
        </w:rPr>
        <w:t xml:space="preserve"> </w:t>
      </w:r>
      <w:r>
        <w:rPr>
          <w:lang w:val="ka"/>
        </w:rPr>
        <w:t xml:space="preserve">(</w:t>
      </w:r>
      <w:r>
        <w:rPr>
          <w:i/>
          <w:iCs/>
          <w:lang w:val="ka"/>
        </w:rPr>
        <w:t xml:space="preserve">Francovich</w:t>
      </w:r>
      <w:r>
        <w:rPr>
          <w:lang w:val="ka"/>
        </w:rPr>
        <w:t xml:space="preserve">) —</w:t>
      </w:r>
      <w:r>
        <w:rPr>
          <w:lang w:val="ka"/>
        </w:rPr>
        <w:t xml:space="preserve"> </w:t>
      </w:r>
      <w:r>
        <w:rPr>
          <w:b/>
          <w:bCs/>
          <w:lang w:val="ka"/>
        </w:rPr>
        <w:t xml:space="preserve">კვირა 7</w:t>
      </w:r>
      <w:r>
        <w:rPr>
          <w:lang w:val="ka"/>
        </w:rPr>
        <w:t xml:space="preserve">.</w:t>
      </w:r>
    </w:p>
    <w:bookmarkEnd w:id="18"/>
    <w:bookmarkStart w:id="19" w:name="X14b120866febe81175e36cfe7f17dd3e198bf01"/>
    <w:p>
      <w:pPr>
        <w:pStyle w:val="Heading2"/>
      </w:pPr>
      <w:r>
        <w:rPr>
          <w:lang w:val="ka"/>
        </w:rPr>
        <w:t xml:space="preserve">3. გადაწყვეტილება — ლისაბონის „უნივერსალური“ აქტი</w:t>
      </w:r>
    </w:p>
    <w:p>
      <w:pPr>
        <w:pStyle w:val="FirstParagraph"/>
      </w:pPr>
      <w:r>
        <w:rPr>
          <w:lang w:val="ka"/>
        </w:rPr>
        <w:t xml:space="preserve">სრულად სავალდებულოა; თუ ადრესატს ასახელებს —</w:t>
      </w:r>
      <w:r>
        <w:rPr>
          <w:lang w:val="ka"/>
        </w:rPr>
        <w:t xml:space="preserve"> </w:t>
      </w:r>
      <w:r>
        <w:rPr>
          <w:b/>
          <w:bCs/>
          <w:lang w:val="ka"/>
        </w:rPr>
        <w:t xml:space="preserve">მხოლოდ</w:t>
      </w:r>
      <w:r>
        <w:rPr>
          <w:lang w:val="ka"/>
        </w:rPr>
        <w:t xml:space="preserve"> </w:t>
      </w:r>
      <w:r>
        <w:rPr>
          <w:lang w:val="ka"/>
        </w:rPr>
        <w:t xml:space="preserve">მისთვის. ლისაბონიდან შეიძლება ადრესატი</w:t>
      </w:r>
      <w:r>
        <w:rPr>
          <w:lang w:val="ka"/>
        </w:rPr>
        <w:t xml:space="preserve"> </w:t>
      </w:r>
      <w:r>
        <w:rPr>
          <w:b/>
          <w:bCs/>
          <w:lang w:val="ka"/>
        </w:rPr>
        <w:t xml:space="preserve">არ</w:t>
      </w:r>
      <w:r>
        <w:rPr>
          <w:lang w:val="ka"/>
        </w:rPr>
        <w:t xml:space="preserve"> </w:t>
      </w:r>
      <w:r>
        <w:rPr>
          <w:lang w:val="ka"/>
        </w:rPr>
        <w:t xml:space="preserve">ჰყავდეს (288, მე-4 აბზ.) — ამით „გადაწყვეტილებაში“ გაერთიანდა აქტები, რომლებიც ძველ სიაში არ ჯდებოდა, მაგ., საბჭოს გადაწყვეტილება გენერალური ადვოკატების რიცხვის გაზრდაზე —</w:t>
      </w:r>
      <w:r>
        <w:rPr>
          <w:lang w:val="ka"/>
        </w:rPr>
        <w:t xml:space="preserve"> </w:t>
      </w:r>
      <w:r>
        <w:rPr>
          <w:b/>
          <w:bCs/>
          <w:lang w:val="ka"/>
        </w:rPr>
        <w:t xml:space="preserve">2013/336/EU</w:t>
      </w:r>
      <w:r>
        <w:rPr>
          <w:lang w:val="ka"/>
        </w:rPr>
        <w:t xml:space="preserve"> </w:t>
      </w:r>
      <w:r>
        <w:rPr>
          <w:lang w:val="ka"/>
        </w:rPr>
        <w:t xml:space="preserve">(გაბრიჩიძე, პარ. 329, სქოლ. 186; კვირა 5). ფულადი ვალდებულება კერძო პირზე —</w:t>
      </w:r>
      <w:r>
        <w:rPr>
          <w:lang w:val="ka"/>
        </w:rPr>
        <w:t xml:space="preserve"> </w:t>
      </w:r>
      <w:r>
        <w:rPr>
          <w:b/>
          <w:bCs/>
          <w:lang w:val="ka"/>
        </w:rPr>
        <w:t xml:space="preserve">აღსრულებადია</w:t>
      </w:r>
      <w:r>
        <w:rPr>
          <w:lang w:val="ka"/>
        </w:rPr>
        <w:t xml:space="preserve"> </w:t>
      </w:r>
      <w:r>
        <w:rPr>
          <w:lang w:val="ka"/>
        </w:rPr>
        <w:t xml:space="preserve">(TFEU 299).</w:t>
      </w:r>
    </w:p>
    <w:bookmarkEnd w:id="19"/>
    <w:bookmarkStart w:id="20" w:name="Xd6863a42ac059766fc039c136452e7fba6b7cbf"/>
    <w:p>
      <w:pPr>
        <w:pStyle w:val="Heading2"/>
      </w:pPr>
      <w:r>
        <w:rPr>
          <w:lang w:val="ka"/>
        </w:rPr>
        <w:t xml:space="preserve">4. რეკომენდაცია და დასკვნა — „რბილი“, მაგრამ არა უმნიშვნელო</w:t>
      </w:r>
    </w:p>
    <w:p>
      <w:pPr>
        <w:pStyle w:val="FirstParagraph"/>
      </w:pPr>
      <w:r>
        <w:rPr>
          <w:lang w:val="ka"/>
        </w:rPr>
        <w:t xml:space="preserve">სავალდებულო</w:t>
      </w:r>
      <w:r>
        <w:rPr>
          <w:lang w:val="ka"/>
        </w:rPr>
        <w:t xml:space="preserve"> </w:t>
      </w:r>
      <w:r>
        <w:rPr>
          <w:b/>
          <w:bCs/>
          <w:lang w:val="ka"/>
        </w:rPr>
        <w:t xml:space="preserve">არ</w:t>
      </w:r>
      <w:r>
        <w:rPr>
          <w:lang w:val="ka"/>
        </w:rPr>
        <w:t xml:space="preserve"> </w:t>
      </w:r>
      <w:r>
        <w:rPr>
          <w:lang w:val="ka"/>
        </w:rPr>
        <w:t xml:space="preserve">არის და ბათილობის სარჩელით</w:t>
      </w:r>
      <w:r>
        <w:rPr>
          <w:lang w:val="ka"/>
        </w:rPr>
        <w:t xml:space="preserve"> </w:t>
      </w:r>
      <w:r>
        <w:rPr>
          <w:b/>
          <w:bCs/>
          <w:lang w:val="ka"/>
        </w:rPr>
        <w:t xml:space="preserve">ვერ</w:t>
      </w:r>
      <w:r>
        <w:rPr>
          <w:lang w:val="ka"/>
        </w:rPr>
        <w:t xml:space="preserve"> </w:t>
      </w:r>
      <w:r>
        <w:rPr>
          <w:lang w:val="ka"/>
        </w:rPr>
        <w:t xml:space="preserve">გასაჩივრდება (TFEU 263: „other than recommendations and opinions“). მაგრამ: კომისიის „</w:t>
      </w:r>
      <w:r>
        <w:rPr>
          <w:b/>
          <w:bCs/>
          <w:lang w:val="ka"/>
        </w:rPr>
        <w:t xml:space="preserve">დასაბუთებული დასკვნა</w:t>
      </w:r>
      <w:r>
        <w:rPr>
          <w:lang w:val="ka"/>
        </w:rPr>
        <w:t xml:space="preserve">“ — 258-ის სარჩელის წინაპირობაა (პარ. 337); ეროვნულმა სასამართლომ რეკომენდაცია უნდა</w:t>
      </w:r>
      <w:r>
        <w:rPr>
          <w:lang w:val="ka"/>
        </w:rPr>
        <w:t xml:space="preserve"> </w:t>
      </w:r>
      <w:r>
        <w:rPr>
          <w:b/>
          <w:bCs/>
          <w:lang w:val="ka"/>
        </w:rPr>
        <w:t xml:space="preserve">გაითვალისწინოს</w:t>
      </w:r>
      <w:r>
        <w:rPr>
          <w:lang w:val="ka"/>
        </w:rPr>
        <w:t xml:space="preserve">, თუ ის სავალდებულო ნორმის განმარტებას შეიცავს (</w:t>
      </w:r>
      <w:r>
        <w:rPr>
          <w:i/>
          <w:iCs/>
          <w:lang w:val="ka"/>
        </w:rPr>
        <w:t xml:space="preserve">Grimaldi</w:t>
      </w:r>
      <w:r>
        <w:rPr>
          <w:lang w:val="ka"/>
        </w:rPr>
        <w:t xml:space="preserve">, C-322/88 — პარ. 338).</w:t>
      </w:r>
    </w:p>
    <w:bookmarkEnd w:id="20"/>
    <w:bookmarkStart w:id="21" w:name="Xc36bd5e172c8d5f2ceea9d9bcc1ff673fb82561"/>
    <w:p>
      <w:pPr>
        <w:pStyle w:val="Heading2"/>
      </w:pPr>
      <w:r>
        <w:rPr>
          <w:lang w:val="ka"/>
        </w:rPr>
        <w:t xml:space="preserve">5. ლისაბონის „ახალი იერარქია“: საკანონმდებლო → დელეგირებული / განმახორციელებელი</w:t>
      </w:r>
    </w:p>
    <w:p>
      <w:pPr>
        <w:pStyle w:val="FirstParagraph"/>
      </w:pPr>
      <w:r>
        <w:rPr>
          <w:lang w:val="ka"/>
        </w:rPr>
        <w:t xml:space="preserve">288-ის აქტებს შორის რანგი</w:t>
      </w:r>
      <w:r>
        <w:rPr>
          <w:lang w:val="ka"/>
        </w:rPr>
        <w:t xml:space="preserve"> </w:t>
      </w:r>
      <w:r>
        <w:rPr>
          <w:b/>
          <w:bCs/>
          <w:lang w:val="ka"/>
        </w:rPr>
        <w:t xml:space="preserve">არ</w:t>
      </w:r>
      <w:r>
        <w:rPr>
          <w:lang w:val="ka"/>
        </w:rPr>
        <w:t xml:space="preserve"> </w:t>
      </w:r>
      <w:r>
        <w:rPr>
          <w:lang w:val="ka"/>
        </w:rPr>
        <w:t xml:space="preserve">არის — რეგულაცია დირექტივაზე „მაღლა“ არ დგას (პარ. 285). იერარქია ჩნდება</w:t>
      </w:r>
      <w:r>
        <w:rPr>
          <w:lang w:val="ka"/>
        </w:rPr>
        <w:t xml:space="preserve"> </w:t>
      </w:r>
      <w:r>
        <w:rPr>
          <w:b/>
          <w:bCs/>
          <w:lang w:val="ka"/>
        </w:rPr>
        <w:t xml:space="preserve">პროცედურით</w:t>
      </w:r>
      <w:r>
        <w:rPr>
          <w:lang w:val="ka"/>
        </w:rPr>
        <w:t xml:space="preserve">:</w:t>
      </w:r>
    </w:p>
    <w:p>
      <w:pPr>
        <w:pStyle w:val="Compact"/>
        <w:numPr>
          <w:ilvl w:val="0"/>
          <w:numId w:val="1002"/>
        </w:numPr>
      </w:pPr>
      <w:r>
        <w:rPr>
          <w:b/>
          <w:bCs/>
          <w:lang w:val="ka"/>
        </w:rPr>
        <w:t xml:space="preserve">საკანონმდებლო აქტი</w:t>
      </w:r>
      <w:r>
        <w:rPr>
          <w:lang w:val="ka"/>
        </w:rPr>
        <w:t xml:space="preserve"> </w:t>
      </w:r>
      <w:r>
        <w:rPr>
          <w:lang w:val="ka"/>
        </w:rPr>
        <w:t xml:space="preserve">= საკანონმდებლო</w:t>
      </w:r>
      <w:r>
        <w:rPr>
          <w:lang w:val="ka"/>
        </w:rPr>
        <w:t xml:space="preserve"> </w:t>
      </w:r>
      <w:r>
        <w:rPr>
          <w:b/>
          <w:bCs/>
          <w:lang w:val="ka"/>
        </w:rPr>
        <w:t xml:space="preserve">პროცედურით</w:t>
      </w:r>
      <w:r>
        <w:rPr>
          <w:lang w:val="ka"/>
        </w:rPr>
        <w:t xml:space="preserve"> </w:t>
      </w:r>
      <w:r>
        <w:rPr>
          <w:lang w:val="ka"/>
        </w:rPr>
        <w:t xml:space="preserve">მიღებული (289(3)) — კვირა 4;</w:t>
      </w:r>
    </w:p>
    <w:p>
      <w:pPr>
        <w:pStyle w:val="Compact"/>
        <w:numPr>
          <w:ilvl w:val="0"/>
          <w:numId w:val="1002"/>
        </w:numPr>
      </w:pPr>
      <w:r>
        <w:rPr>
          <w:b/>
          <w:bCs/>
          <w:lang w:val="ka"/>
        </w:rPr>
        <w:t xml:space="preserve">დელეგირებული</w:t>
      </w:r>
      <w:r>
        <w:rPr>
          <w:lang w:val="ka"/>
        </w:rPr>
        <w:t xml:space="preserve"> </w:t>
      </w:r>
      <w:r>
        <w:rPr>
          <w:lang w:val="ka"/>
        </w:rPr>
        <w:t xml:space="preserve">(290) — კომისია</w:t>
      </w:r>
      <w:r>
        <w:rPr>
          <w:lang w:val="ka"/>
        </w:rPr>
        <w:t xml:space="preserve"> </w:t>
      </w:r>
      <w:r>
        <w:rPr>
          <w:b/>
          <w:bCs/>
          <w:lang w:val="ka"/>
        </w:rPr>
        <w:t xml:space="preserve">ავსებს ან ცვლის</w:t>
      </w:r>
      <w:r>
        <w:rPr>
          <w:lang w:val="ka"/>
        </w:rPr>
        <w:t xml:space="preserve"> </w:t>
      </w:r>
      <w:r>
        <w:rPr>
          <w:lang w:val="ka"/>
        </w:rPr>
        <w:t xml:space="preserve">„non-essential elements“-ს; „essential elements“ —</w:t>
      </w:r>
      <w:r>
        <w:rPr>
          <w:lang w:val="ka"/>
        </w:rPr>
        <w:t xml:space="preserve"> </w:t>
      </w:r>
      <w:r>
        <w:rPr>
          <w:b/>
          <w:bCs/>
          <w:lang w:val="ka"/>
        </w:rPr>
        <w:t xml:space="preserve">მხოლოდ</w:t>
      </w:r>
      <w:r>
        <w:rPr>
          <w:lang w:val="ka"/>
        </w:rPr>
        <w:t xml:space="preserve"> </w:t>
      </w:r>
      <w:r>
        <w:rPr>
          <w:lang w:val="ka"/>
        </w:rPr>
        <w:t xml:space="preserve">კანონმდებელს;</w:t>
      </w:r>
    </w:p>
    <w:p>
      <w:pPr>
        <w:pStyle w:val="Compact"/>
        <w:numPr>
          <w:ilvl w:val="0"/>
          <w:numId w:val="1002"/>
        </w:numPr>
      </w:pPr>
      <w:r>
        <w:rPr>
          <w:b/>
          <w:bCs/>
          <w:lang w:val="ka"/>
        </w:rPr>
        <w:t xml:space="preserve">განმახორციელებელი</w:t>
      </w:r>
      <w:r>
        <w:rPr>
          <w:lang w:val="ka"/>
        </w:rPr>
        <w:t xml:space="preserve"> </w:t>
      </w:r>
      <w:r>
        <w:rPr>
          <w:lang w:val="ka"/>
        </w:rPr>
        <w:t xml:space="preserve">(291) —</w:t>
      </w:r>
      <w:r>
        <w:rPr>
          <w:lang w:val="ka"/>
        </w:rPr>
        <w:t xml:space="preserve"> </w:t>
      </w:r>
      <w:r>
        <w:rPr>
          <w:b/>
          <w:bCs/>
          <w:lang w:val="ka"/>
        </w:rPr>
        <w:t xml:space="preserve">ერთგვაროვანი შესრულება</w:t>
      </w:r>
      <w:r>
        <w:rPr>
          <w:lang w:val="ka"/>
        </w:rPr>
        <w:t xml:space="preserve">; როგორც წესი, კომისია.</w:t>
      </w:r>
    </w:p>
    <w:p>
      <w:pPr>
        <w:pStyle w:val="FirstParagraph"/>
      </w:pPr>
      <w:r>
        <w:rPr>
          <w:lang w:val="ka"/>
        </w:rPr>
        <w:t xml:space="preserve">📊 → ცხრილი 3. ეს</w:t>
      </w:r>
      <w:r>
        <w:rPr>
          <w:lang w:val="ka"/>
        </w:rPr>
        <w:t xml:space="preserve"> </w:t>
      </w:r>
      <w:r>
        <w:rPr>
          <w:i/>
          <w:iCs/>
          <w:lang w:val="ka"/>
        </w:rPr>
        <w:t xml:space="preserve">Meroni</w:t>
      </w:r>
      <w:r>
        <w:rPr>
          <w:lang w:val="ka"/>
        </w:rPr>
        <w:t xml:space="preserve">-ს (კვირა 5) ლოგიკის „კოდიფიკაციას“ ჰგავს — ჩვენი ინტერპრეტაცია.</w:t>
      </w:r>
    </w:p>
    <w:bookmarkEnd w:id="21"/>
    <w:bookmarkStart w:id="22" w:name="ძალაში-შესვლა-და-დასაბუთება"/>
    <w:p>
      <w:pPr>
        <w:pStyle w:val="Heading2"/>
      </w:pPr>
      <w:r>
        <w:rPr>
          <w:lang w:val="ka"/>
        </w:rPr>
        <w:t xml:space="preserve">6. ძალაში შესვლა და დასაბუთება</w:t>
      </w:r>
    </w:p>
    <w:p>
      <w:pPr>
        <w:pStyle w:val="FirstParagraph"/>
      </w:pPr>
      <w:r>
        <w:rPr>
          <w:b/>
          <w:bCs/>
          <w:lang w:val="ka"/>
        </w:rPr>
        <w:t xml:space="preserve">TFEU 297:</w:t>
      </w:r>
      <w:r>
        <w:rPr>
          <w:lang w:val="ka"/>
        </w:rPr>
        <w:t xml:space="preserve"> </w:t>
      </w:r>
      <w:r>
        <w:rPr>
          <w:lang w:val="ka"/>
        </w:rPr>
        <w:t xml:space="preserve">საკანონმდებლო აქტები და ყველა სახელმწიფოსადმი მიმართული რეგულაციები/დირექტივები</w:t>
      </w:r>
      <w:r>
        <w:rPr>
          <w:lang w:val="ka"/>
        </w:rPr>
        <w:t xml:space="preserve"> </w:t>
      </w:r>
      <w:r>
        <w:rPr>
          <w:b/>
          <w:bCs/>
          <w:lang w:val="ka"/>
        </w:rPr>
        <w:t xml:space="preserve">ქვეყნდება</w:t>
      </w:r>
      <w:r>
        <w:rPr>
          <w:lang w:val="ka"/>
        </w:rPr>
        <w:t xml:space="preserve"> </w:t>
      </w:r>
      <w:r>
        <w:rPr>
          <w:lang w:val="ka"/>
        </w:rPr>
        <w:t xml:space="preserve">ოფიციალურ ჟურნალში (OJ) და ძალაში შედის მითითებულ დღეს ან გამოქვეყნებიდან</w:t>
      </w:r>
      <w:r>
        <w:rPr>
          <w:lang w:val="ka"/>
        </w:rPr>
        <w:t xml:space="preserve"> </w:t>
      </w:r>
      <w:r>
        <w:rPr>
          <w:b/>
          <w:bCs/>
          <w:lang w:val="ka"/>
        </w:rPr>
        <w:t xml:space="preserve">მე-20 დღეს</w:t>
      </w:r>
      <w:r>
        <w:rPr>
          <w:lang w:val="ka"/>
        </w:rPr>
        <w:t xml:space="preserve">; ადრესატიანი გადაწყვეტილებები და სხვა დირექტივები —</w:t>
      </w:r>
      <w:r>
        <w:rPr>
          <w:lang w:val="ka"/>
        </w:rPr>
        <w:t xml:space="preserve"> </w:t>
      </w:r>
      <w:r>
        <w:rPr>
          <w:b/>
          <w:bCs/>
          <w:lang w:val="ka"/>
        </w:rPr>
        <w:t xml:space="preserve">შეტყობინებით</w:t>
      </w:r>
      <w:r>
        <w:rPr>
          <w:lang w:val="ka"/>
        </w:rPr>
        <w:t xml:space="preserve"> </w:t>
      </w:r>
      <w:r>
        <w:rPr>
          <w:lang w:val="ka"/>
        </w:rPr>
        <w:t xml:space="preserve">(PDF 171).</w:t>
      </w:r>
      <w:r>
        <w:rPr>
          <w:lang w:val="ka"/>
        </w:rPr>
        <w:t xml:space="preserve"> </w:t>
      </w:r>
      <w:r>
        <w:rPr>
          <w:b/>
          <w:bCs/>
          <w:lang w:val="ka"/>
        </w:rPr>
        <w:t xml:space="preserve">TFEU 296:</w:t>
      </w:r>
      <w:r>
        <w:rPr>
          <w:lang w:val="ka"/>
        </w:rPr>
        <w:t xml:space="preserve"> </w:t>
      </w:r>
      <w:r>
        <w:rPr>
          <w:lang w:val="ka"/>
        </w:rPr>
        <w:t xml:space="preserve">ყოველი აქტი „shall</w:t>
      </w:r>
      <w:r>
        <w:rPr>
          <w:lang w:val="ka"/>
        </w:rPr>
        <w:t xml:space="preserve"> </w:t>
      </w:r>
      <w:r>
        <w:rPr>
          <w:b/>
          <w:bCs/>
          <w:lang w:val="ka"/>
        </w:rPr>
        <w:t xml:space="preserve">state the reasons</w:t>
      </w:r>
      <w:r>
        <w:rPr>
          <w:lang w:val="ka"/>
        </w:rPr>
        <w:t xml:space="preserve"> </w:t>
      </w:r>
      <w:r>
        <w:rPr>
          <w:lang w:val="ka"/>
        </w:rPr>
        <w:t xml:space="preserve">on which it is based“ — ამიტომ აქვს ყოველ აქტს</w:t>
      </w:r>
      <w:r>
        <w:rPr>
          <w:lang w:val="ka"/>
        </w:rPr>
        <w:t xml:space="preserve"> </w:t>
      </w:r>
      <w:r>
        <w:rPr>
          <w:b/>
          <w:bCs/>
          <w:lang w:val="ka"/>
        </w:rPr>
        <w:t xml:space="preserve">პრეამბულა</w:t>
      </w:r>
      <w:r>
        <w:rPr>
          <w:lang w:val="ka"/>
        </w:rPr>
        <w:t xml:space="preserve"> </w:t>
      </w:r>
      <w:r>
        <w:rPr>
          <w:lang w:val="ka"/>
        </w:rPr>
        <w:t xml:space="preserve">(„Whereas…“).</w:t>
      </w:r>
    </w:p>
    <w:p>
      <w:r>
        <w:pict>
          <v:rect style="width:0;height:1.5pt" o:hralign="center" o:hrstd="t" o:hr="t"/>
        </w:pict>
      </w:r>
    </w:p>
    <w:bookmarkEnd w:id="22"/>
    <w:bookmarkEnd w:id="23"/>
    <w:bookmarkStart w:id="24" w:name="X69dd91b173613776ae46e45cc70819661b0ba41"/>
    <w:p>
      <w:pPr>
        <w:pStyle w:val="Heading1"/>
      </w:pPr>
      <w:r>
        <w:rPr>
          <w:lang w:val="ka"/>
        </w:rPr>
        <w:t xml:space="preserve">IV. 🗺️ რუკა: ვის შეუძლია ნორმაზე დაყრდნობა სასამართლოში? (დეტალურად — კვირა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ka"/>
              </w:rPr>
              <w:t xml:space="preserve">პირი vs სახელმწიფო</w:t>
            </w:r>
          </w:p>
        </w:tc>
        <w:tc>
          <w:tcPr/>
          <w:p>
            <w:pPr>
              <w:pStyle w:val="Compact"/>
            </w:pPr>
            <w:r>
              <w:rPr>
                <w:lang w:val="ka"/>
              </w:rPr>
              <w:t xml:space="preserve">პირი vs პირი</w:t>
            </w:r>
          </w:p>
        </w:tc>
      </w:tr>
      <w:tr>
        <w:tc>
          <w:tcPr/>
          <w:p>
            <w:pPr>
              <w:pStyle w:val="Compact"/>
            </w:pPr>
            <w:r>
              <w:rPr>
                <w:lang w:val="ka"/>
              </w:rPr>
              <w:t xml:space="preserve">ხელშეკრულების მუხლი</w:t>
            </w:r>
          </w:p>
        </w:tc>
        <w:tc>
          <w:tcPr/>
          <w:p>
            <w:pPr>
              <w:pStyle w:val="Compact"/>
            </w:pPr>
            <w:r>
              <w:rPr>
                <w:lang w:val="ka"/>
              </w:rPr>
              <w:t xml:space="preserve">✅ (</w:t>
            </w:r>
            <w:r>
              <w:rPr>
                <w:i/>
                <w:iCs/>
                <w:lang w:val="ka"/>
              </w:rPr>
              <w:t xml:space="preserve">Van Gend</w:t>
            </w:r>
            <w:r>
              <w:rPr>
                <w:lang w:val="ka"/>
              </w:rPr>
              <w:t xml:space="preserve">, 1963)</w:t>
            </w:r>
          </w:p>
        </w:tc>
        <w:tc>
          <w:tcPr/>
          <w:p>
            <w:pPr>
              <w:pStyle w:val="Compact"/>
            </w:pPr>
            <w:r>
              <w:rPr>
                <w:lang w:val="ka"/>
              </w:rPr>
              <w:t xml:space="preserve">✅ შეიძლება (</w:t>
            </w:r>
            <w:r>
              <w:rPr>
                <w:i/>
                <w:iCs/>
                <w:lang w:val="ka"/>
              </w:rPr>
              <w:t xml:space="preserve">Defrenne II</w:t>
            </w:r>
            <w:r>
              <w:rPr>
                <w:lang w:val="ka"/>
              </w:rPr>
              <w:t xml:space="preserve">, 1976, პარ. 39)</w:t>
            </w:r>
          </w:p>
        </w:tc>
      </w:tr>
      <w:tr>
        <w:tc>
          <w:tcPr/>
          <w:p>
            <w:pPr>
              <w:pStyle w:val="Compact"/>
            </w:pPr>
            <w:r>
              <w:rPr>
                <w:lang w:val="ka"/>
              </w:rPr>
              <w:t xml:space="preserve">რეგულაცია</w:t>
            </w:r>
          </w:p>
        </w:tc>
        <w:tc>
          <w:tcPr/>
          <w:p>
            <w:pPr>
              <w:pStyle w:val="Compact"/>
            </w:pPr>
            <w:r>
              <w:rPr>
                <w:lang w:val="ka"/>
              </w:rPr>
              <w:t xml:space="preserve">✅</w:t>
            </w:r>
          </w:p>
        </w:tc>
        <w:tc>
          <w:tcPr/>
          <w:p>
            <w:pPr>
              <w:pStyle w:val="Compact"/>
            </w:pPr>
            <w:r>
              <w:rPr>
                <w:lang w:val="ka"/>
              </w:rPr>
              <w:t xml:space="preserve">✅</w:t>
            </w:r>
          </w:p>
        </w:tc>
      </w:tr>
      <w:tr>
        <w:tc>
          <w:tcPr/>
          <w:p>
            <w:pPr>
              <w:pStyle w:val="Compact"/>
            </w:pPr>
            <w:r>
              <w:rPr>
                <w:lang w:val="ka"/>
              </w:rPr>
              <w:t xml:space="preserve">დირექტივა (ვადა გავიდა)</w:t>
            </w:r>
          </w:p>
        </w:tc>
        <w:tc>
          <w:tcPr/>
          <w:p>
            <w:pPr>
              <w:pStyle w:val="Compact"/>
            </w:pPr>
            <w:r>
              <w:rPr>
                <w:lang w:val="ka"/>
              </w:rPr>
              <w:t xml:space="preserve">✅</w:t>
            </w:r>
          </w:p>
        </w:tc>
        <w:tc>
          <w:tcPr/>
          <w:p>
            <w:pPr>
              <w:pStyle w:val="Compact"/>
            </w:pPr>
            <w:r>
              <w:rPr>
                <w:lang w:val="ka"/>
              </w:rPr>
              <w:t xml:space="preserve">❌ (</w:t>
            </w:r>
            <w:r>
              <w:rPr>
                <w:i/>
                <w:iCs/>
                <w:lang w:val="ka"/>
              </w:rPr>
              <w:t xml:space="preserve">Marshall</w:t>
            </w:r>
            <w:r>
              <w:rPr>
                <w:lang w:val="ka"/>
              </w:rPr>
              <w:t xml:space="preserve">, 1986, პარ. 48)</w:t>
            </w:r>
          </w:p>
        </w:tc>
      </w:tr>
    </w:tbl>
    <w:p>
      <w:pPr>
        <w:pStyle w:val="BlockText"/>
      </w:pPr>
      <w:r>
        <w:rPr>
          <w:lang w:val="ka"/>
        </w:rPr>
        <w:t xml:space="preserve">„…დირექტივას</w:t>
      </w:r>
      <w:r>
        <w:rPr>
          <w:lang w:val="ka"/>
        </w:rPr>
        <w:t xml:space="preserve"> </w:t>
      </w:r>
      <w:r>
        <w:rPr>
          <w:b/>
          <w:bCs/>
          <w:lang w:val="ka"/>
        </w:rPr>
        <w:t xml:space="preserve">თავისთავად</w:t>
      </w:r>
      <w:r>
        <w:rPr>
          <w:lang w:val="ka"/>
        </w:rPr>
        <w:t xml:space="preserve"> </w:t>
      </w:r>
      <w:r>
        <w:rPr>
          <w:lang w:val="ka"/>
        </w:rPr>
        <w:t xml:space="preserve">არ შეუძლია პირს ვალდებულება დააკისროს…“</w:t>
      </w:r>
    </w:p>
    <w:p>
      <w:pPr>
        <w:pStyle w:val="BlockText"/>
      </w:pPr>
      <w:r>
        <w:rPr>
          <w:i/>
          <w:iCs/>
          <w:lang w:val="ka"/>
        </w:rPr>
        <w:t xml:space="preserve">ორიგინალი:</w:t>
      </w:r>
      <w:r>
        <w:rPr>
          <w:lang w:val="ka"/>
        </w:rPr>
        <w:t xml:space="preserve"> </w:t>
      </w:r>
      <w:r>
        <w:rPr>
          <w:lang w:val="ka"/>
        </w:rPr>
        <w:t xml:space="preserve">„It follows that a directive may not of itself impose obligations on an individual and that a provision of a directive may not be relied upon as such against such a person.“ —</w:t>
      </w:r>
      <w:r>
        <w:rPr>
          <w:lang w:val="ka"/>
        </w:rPr>
        <w:t xml:space="preserve"> </w:t>
      </w:r>
      <w:r>
        <w:rPr>
          <w:i/>
          <w:iCs/>
          <w:lang w:val="ka"/>
        </w:rPr>
        <w:t xml:space="preserve">Case 152/84, Marshall, პარ. 48, PDF გვ. 13</w:t>
      </w:r>
    </w:p>
    <w:p>
      <w:pPr>
        <w:pStyle w:val="FirstParagraph"/>
      </w:pPr>
      <w:r>
        <w:rPr>
          <w:lang w:val="ka"/>
        </w:rPr>
        <w:t xml:space="preserve">⚠️</w:t>
      </w:r>
      <w:r>
        <w:rPr>
          <w:lang w:val="ka"/>
        </w:rPr>
        <w:t xml:space="preserve"> </w:t>
      </w:r>
      <w:r>
        <w:rPr>
          <w:b/>
          <w:bCs/>
          <w:lang w:val="ka"/>
        </w:rPr>
        <w:t xml:space="preserve">ტერმინების ხაფანგი:</w:t>
      </w:r>
      <w:r>
        <w:rPr>
          <w:lang w:val="ka"/>
        </w:rPr>
        <w:t xml:space="preserve"> </w:t>
      </w:r>
      <w:r>
        <w:rPr>
          <w:lang w:val="ka"/>
        </w:rPr>
        <w:t xml:space="preserve">ინგლისურში</w:t>
      </w:r>
      <w:r>
        <w:rPr>
          <w:lang w:val="ka"/>
        </w:rPr>
        <w:t xml:space="preserve"> </w:t>
      </w:r>
      <w:r>
        <w:rPr>
          <w:i/>
          <w:iCs/>
          <w:lang w:val="ka"/>
        </w:rPr>
        <w:t xml:space="preserve">directly applicable</w:t>
      </w:r>
      <w:r>
        <w:rPr>
          <w:lang w:val="ka"/>
        </w:rPr>
        <w:t xml:space="preserve"> </w:t>
      </w:r>
      <w:r>
        <w:rPr>
          <w:lang w:val="ka"/>
        </w:rPr>
        <w:t xml:space="preserve">(288 — რეგულაციის თვისება) ≠</w:t>
      </w:r>
      <w:r>
        <w:rPr>
          <w:lang w:val="ka"/>
        </w:rPr>
        <w:t xml:space="preserve"> </w:t>
      </w:r>
      <w:r>
        <w:rPr>
          <w:i/>
          <w:iCs/>
          <w:lang w:val="ka"/>
        </w:rPr>
        <w:t xml:space="preserve">direct effect</w:t>
      </w:r>
      <w:r>
        <w:rPr>
          <w:lang w:val="ka"/>
        </w:rPr>
        <w:t xml:space="preserve"> </w:t>
      </w:r>
      <w:r>
        <w:rPr>
          <w:lang w:val="ka"/>
        </w:rPr>
        <w:t xml:space="preserve">(ნორმაზე დაყრდნობის შესაძლებლობა). გაბრიჩიძე პირველს „</w:t>
      </w:r>
      <w:r>
        <w:rPr>
          <w:b/>
          <w:bCs/>
          <w:lang w:val="ka"/>
        </w:rPr>
        <w:t xml:space="preserve">უშუალო მოქმედებას</w:t>
      </w:r>
      <w:r>
        <w:rPr>
          <w:lang w:val="ka"/>
        </w:rPr>
        <w:t xml:space="preserve">“ უწოდებს, მეორეს — „</w:t>
      </w:r>
      <w:r>
        <w:rPr>
          <w:b/>
          <w:bCs/>
          <w:lang w:val="ka"/>
        </w:rPr>
        <w:t xml:space="preserve">უშუალო გამოყენებას</w:t>
      </w:r>
      <w:r>
        <w:rPr>
          <w:lang w:val="ka"/>
        </w:rPr>
        <w:t xml:space="preserve">“ (პარ. 291–292). ისწავლეთ</w:t>
      </w:r>
      <w:r>
        <w:rPr>
          <w:lang w:val="ka"/>
        </w:rPr>
        <w:t xml:space="preserve"> </w:t>
      </w:r>
      <w:r>
        <w:rPr>
          <w:b/>
          <w:bCs/>
          <w:lang w:val="ka"/>
        </w:rPr>
        <w:t xml:space="preserve">ცნება</w:t>
      </w:r>
      <w:r>
        <w:rPr>
          <w:lang w:val="ka"/>
        </w:rPr>
        <w:t xml:space="preserve">, არა თარგმანი. 📊 → ცხრილი 5.</w:t>
      </w:r>
    </w:p>
    <w:p>
      <w:r>
        <w:pict>
          <v:rect style="width:0;height:1.5pt" o:hralign="center" o:hrstd="t" o:hr="t"/>
        </w:pict>
      </w:r>
    </w:p>
    <w:bookmarkEnd w:id="24"/>
    <w:bookmarkStart w:id="25" w:name="v.-წყაროს-კრიტიკა-წიგნი-და-ხელშეკრულება"/>
    <w:p>
      <w:pPr>
        <w:pStyle w:val="Heading1"/>
      </w:pPr>
      <w:r>
        <w:rPr>
          <w:lang w:val="ka"/>
        </w:rPr>
        <w:t xml:space="preserve">V. 🔎 წყაროს კრიტიკა — წიგნი და ხელშეკრულება</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წიგნში (გვ., პარ.)</w:t>
            </w:r>
          </w:p>
        </w:tc>
        <w:tc>
          <w:tcPr/>
          <w:p>
            <w:pPr>
              <w:pStyle w:val="Compact"/>
            </w:pPr>
            <w:r>
              <w:rPr>
                <w:lang w:val="ka"/>
              </w:rPr>
              <w:t xml:space="preserve">ხელშეკრულება / ოფიციალური წყარო</w:t>
            </w:r>
          </w:p>
        </w:tc>
      </w:tr>
      <w:tr>
        <w:tc>
          <w:tcPr/>
          <w:p>
            <w:pPr>
              <w:pStyle w:val="Compact"/>
            </w:pPr>
            <w:r>
              <w:rPr>
                <w:lang w:val="ka"/>
              </w:rPr>
              <w:t xml:space="preserve">TFEU</w:t>
            </w:r>
            <w:r>
              <w:rPr>
                <w:lang w:val="ka"/>
              </w:rPr>
              <w:t xml:space="preserve"> </w:t>
            </w:r>
            <w:r>
              <w:rPr>
                <w:b/>
                <w:bCs/>
                <w:lang w:val="ka"/>
              </w:rPr>
              <w:t xml:space="preserve">45</w:t>
            </w:r>
            <w:r>
              <w:rPr>
                <w:lang w:val="ka"/>
              </w:rPr>
              <w:t xml:space="preserve"> </w:t>
            </w:r>
            <w:r>
              <w:rPr>
                <w:lang w:val="ka"/>
              </w:rPr>
              <w:t xml:space="preserve">(მუშაკების გადაადგილება) — უშუალო მოქმედება: „41/74 Van Duyn;</w:t>
            </w:r>
            <w:r>
              <w:rPr>
                <w:lang w:val="ka"/>
              </w:rPr>
              <w:t xml:space="preserve"> </w:t>
            </w:r>
            <w:r>
              <w:rPr>
                <w:b/>
                <w:bCs/>
                <w:lang w:val="ka"/>
              </w:rPr>
              <w:t xml:space="preserve">43/75 Defrenne</w:t>
            </w:r>
            <w:r>
              <w:rPr>
                <w:lang w:val="ka"/>
              </w:rPr>
              <w:t xml:space="preserve">“ (89, სქოლ. 130)</w:t>
            </w:r>
          </w:p>
        </w:tc>
        <w:tc>
          <w:tcPr/>
          <w:p>
            <w:pPr>
              <w:pStyle w:val="Compact"/>
            </w:pPr>
            <w:r>
              <w:rPr>
                <w:i/>
                <w:iCs/>
                <w:lang w:val="ka"/>
              </w:rPr>
              <w:t xml:space="preserve">Defrenne II</w:t>
            </w:r>
            <w:r>
              <w:rPr>
                <w:lang w:val="ka"/>
              </w:rPr>
              <w:t xml:space="preserve"> </w:t>
            </w:r>
            <w:r>
              <w:rPr>
                <w:lang w:val="ka"/>
              </w:rPr>
              <w:t xml:space="preserve">EEC</w:t>
            </w:r>
            <w:r>
              <w:rPr>
                <w:lang w:val="ka"/>
              </w:rPr>
              <w:t xml:space="preserve"> </w:t>
            </w:r>
            <w:r>
              <w:rPr>
                <w:b/>
                <w:bCs/>
                <w:lang w:val="ka"/>
              </w:rPr>
              <w:t xml:space="preserve">119</w:t>
            </w:r>
            <w:r>
              <w:rPr>
                <w:lang w:val="ka"/>
              </w:rPr>
              <w:t xml:space="preserve">-ს (თანაბარი ანაზღაურება; დღეს</w:t>
            </w:r>
            <w:r>
              <w:rPr>
                <w:lang w:val="ka"/>
              </w:rPr>
              <w:t xml:space="preserve"> </w:t>
            </w:r>
            <w:r>
              <w:rPr>
                <w:b/>
                <w:bCs/>
                <w:lang w:val="ka"/>
              </w:rPr>
              <w:t xml:space="preserve">TFEU 157</w:t>
            </w:r>
            <w:r>
              <w:rPr>
                <w:lang w:val="ka"/>
              </w:rPr>
              <w:t xml:space="preserve">) ეხება, არა 45-ს (43/75, პარ. 1, 4, PDF 16)</w:t>
            </w:r>
          </w:p>
        </w:tc>
      </w:tr>
      <w:tr>
        <w:tc>
          <w:tcPr/>
          <w:p>
            <w:pPr>
              <w:pStyle w:val="Compact"/>
            </w:pPr>
            <w:r>
              <w:rPr>
                <w:lang w:val="ka"/>
              </w:rPr>
              <w:t xml:space="preserve">თანაზომიერება კოდიფიცირდა — „TEU</w:t>
            </w:r>
            <w:r>
              <w:rPr>
                <w:lang w:val="ka"/>
              </w:rPr>
              <w:t xml:space="preserve"> </w:t>
            </w:r>
            <w:r>
              <w:rPr>
                <w:b/>
                <w:bCs/>
                <w:lang w:val="ka"/>
              </w:rPr>
              <w:t xml:space="preserve">5(1)</w:t>
            </w:r>
            <w:r>
              <w:rPr>
                <w:lang w:val="ka"/>
              </w:rPr>
              <w:t xml:space="preserve">“ (90, სქოლ. 132)</w:t>
            </w:r>
          </w:p>
        </w:tc>
        <w:tc>
          <w:tcPr/>
          <w:p>
            <w:pPr>
              <w:pStyle w:val="Compact"/>
            </w:pPr>
            <w:r>
              <w:rPr>
                <w:lang w:val="ka"/>
              </w:rPr>
              <w:t xml:space="preserve">5(1) პრინციპს მხოლოდ</w:t>
            </w:r>
            <w:r>
              <w:rPr>
                <w:lang w:val="ka"/>
              </w:rPr>
              <w:t xml:space="preserve"> </w:t>
            </w:r>
            <w:r>
              <w:rPr>
                <w:b/>
                <w:bCs/>
                <w:lang w:val="ka"/>
              </w:rPr>
              <w:t xml:space="preserve">ასახელებს</w:t>
            </w:r>
            <w:r>
              <w:rPr>
                <w:lang w:val="ka"/>
              </w:rPr>
              <w:t xml:space="preserve">; შინაარსი —</w:t>
            </w:r>
            <w:r>
              <w:rPr>
                <w:lang w:val="ka"/>
              </w:rPr>
              <w:t xml:space="preserve"> </w:t>
            </w:r>
            <w:r>
              <w:rPr>
                <w:b/>
                <w:bCs/>
                <w:lang w:val="ka"/>
              </w:rPr>
              <w:t xml:space="preserve">5(4)</w:t>
            </w:r>
            <w:r>
              <w:rPr>
                <w:lang w:val="ka"/>
              </w:rPr>
              <w:t xml:space="preserve"> </w:t>
            </w:r>
            <w:r>
              <w:rPr>
                <w:lang w:val="ka"/>
              </w:rPr>
              <w:t xml:space="preserve">(PDF 17)</w:t>
            </w:r>
          </w:p>
        </w:tc>
      </w:tr>
      <w:tr>
        <w:tc>
          <w:tcPr/>
          <w:p>
            <w:pPr>
              <w:pStyle w:val="Compact"/>
            </w:pPr>
            <w:r>
              <w:rPr>
                <w:lang w:val="ka"/>
              </w:rPr>
              <w:t xml:space="preserve">ECSC-ის ხელშეკრულების ვადა გავიდა „2002 წლის</w:t>
            </w:r>
            <w:r>
              <w:rPr>
                <w:lang w:val="ka"/>
              </w:rPr>
              <w:t xml:space="preserve"> </w:t>
            </w:r>
            <w:r>
              <w:rPr>
                <w:b/>
                <w:bCs/>
                <w:lang w:val="ka"/>
              </w:rPr>
              <w:t xml:space="preserve">24</w:t>
            </w:r>
            <w:r>
              <w:rPr>
                <w:lang w:val="ka"/>
              </w:rPr>
              <w:t xml:space="preserve"> </w:t>
            </w:r>
            <w:r>
              <w:rPr>
                <w:lang w:val="ka"/>
              </w:rPr>
              <w:t xml:space="preserve">ივლისს“ (86, პარ. 268)</w:t>
            </w:r>
          </w:p>
        </w:tc>
        <w:tc>
          <w:tcPr/>
          <w:p>
            <w:pPr>
              <w:pStyle w:val="Compact"/>
            </w:pPr>
            <w:r>
              <w:rPr>
                <w:lang w:val="ka"/>
              </w:rPr>
              <w:t xml:space="preserve">⚖️ ABC: „expired (on</w:t>
            </w:r>
            <w:r>
              <w:rPr>
                <w:lang w:val="ka"/>
              </w:rPr>
              <w:t xml:space="preserve"> </w:t>
            </w:r>
            <w:r>
              <w:rPr>
                <w:b/>
                <w:bCs/>
                <w:lang w:val="ka"/>
              </w:rPr>
              <w:t xml:space="preserve">23</w:t>
            </w:r>
            <w:r>
              <w:rPr>
                <w:lang w:val="ka"/>
              </w:rPr>
              <w:t xml:space="preserve"> </w:t>
            </w:r>
            <w:r>
              <w:rPr>
                <w:lang w:val="ka"/>
              </w:rPr>
              <w:t xml:space="preserve">July 2002)“ (PDF 19) — გადასამოწმებელი</w:t>
            </w:r>
          </w:p>
        </w:tc>
      </w:tr>
      <w:tr>
        <w:tc>
          <w:tcPr/>
          <w:p>
            <w:pPr>
              <w:pStyle w:val="Compact"/>
            </w:pPr>
            <w:r>
              <w:rPr>
                <w:lang w:val="ka"/>
              </w:rPr>
              <w:t xml:space="preserve">„სახელმწიფო მდივანი“ — „ბევრ წევრ სახელმწიფოში (შვედეთი,</w:t>
            </w:r>
            <w:r>
              <w:rPr>
                <w:lang w:val="ka"/>
              </w:rPr>
              <w:t xml:space="preserve"> </w:t>
            </w:r>
            <w:r>
              <w:rPr>
                <w:b/>
                <w:bCs/>
                <w:lang w:val="ka"/>
              </w:rPr>
              <w:t xml:space="preserve">ნორვეგია</w:t>
            </w:r>
            <w:r>
              <w:rPr>
                <w:lang w:val="ka"/>
              </w:rPr>
              <w:t xml:space="preserve">…)“ (91, სქოლ. 137)</w:t>
            </w:r>
          </w:p>
        </w:tc>
        <w:tc>
          <w:tcPr/>
          <w:p>
            <w:pPr>
              <w:pStyle w:val="Compact"/>
            </w:pPr>
            <w:r>
              <w:rPr>
                <w:lang w:val="ka"/>
              </w:rPr>
              <w:t xml:space="preserve">ნორვეგია ევროკავშირის წევრი</w:t>
            </w:r>
            <w:r>
              <w:rPr>
                <w:lang w:val="ka"/>
              </w:rPr>
              <w:t xml:space="preserve"> </w:t>
            </w:r>
            <w:r>
              <w:rPr>
                <w:b/>
                <w:bCs/>
                <w:lang w:val="ka"/>
              </w:rPr>
              <w:t xml:space="preserve">არ</w:t>
            </w:r>
            <w:r>
              <w:rPr>
                <w:lang w:val="ka"/>
              </w:rPr>
              <w:t xml:space="preserve"> </w:t>
            </w:r>
            <w:r>
              <w:rPr>
                <w:lang w:val="ka"/>
              </w:rPr>
              <w:t xml:space="preserve">არის</w:t>
            </w:r>
          </w:p>
        </w:tc>
      </w:tr>
      <w:tr>
        <w:tc>
          <w:tcPr/>
          <w:p>
            <w:pPr>
              <w:pStyle w:val="Compact"/>
            </w:pPr>
            <w:r>
              <w:rPr>
                <w:lang w:val="ka"/>
              </w:rPr>
              <w:t xml:space="preserve">დირექტივის ძალაში შესვლა — TFEU „</w:t>
            </w:r>
            <w:r>
              <w:rPr>
                <w:b/>
                <w:bCs/>
                <w:lang w:val="ka"/>
              </w:rPr>
              <w:t xml:space="preserve">297(2)</w:t>
            </w:r>
            <w:r>
              <w:rPr>
                <w:lang w:val="ka"/>
              </w:rPr>
              <w:t xml:space="preserve">“ (98, პარ. 302)</w:t>
            </w:r>
          </w:p>
        </w:tc>
        <w:tc>
          <w:tcPr/>
          <w:p>
            <w:pPr>
              <w:pStyle w:val="Compact"/>
            </w:pPr>
            <w:r>
              <w:rPr>
                <w:lang w:val="ka"/>
              </w:rPr>
              <w:t xml:space="preserve">საკანონმდებლო დირექტივებზე —</w:t>
            </w:r>
            <w:r>
              <w:rPr>
                <w:lang w:val="ka"/>
              </w:rPr>
              <w:t xml:space="preserve"> </w:t>
            </w:r>
            <w:r>
              <w:rPr>
                <w:b/>
                <w:bCs/>
                <w:lang w:val="ka"/>
              </w:rPr>
              <w:t xml:space="preserve">297(1)</w:t>
            </w:r>
            <w:r>
              <w:rPr>
                <w:lang w:val="ka"/>
              </w:rPr>
              <w:t xml:space="preserve">; 297(2) — არასაკანონმდებლო (PDF 171)</w:t>
            </w:r>
          </w:p>
        </w:tc>
      </w:tr>
      <w:tr>
        <w:tc>
          <w:tcPr/>
          <w:p>
            <w:pPr>
              <w:pStyle w:val="Compact"/>
            </w:pPr>
            <w:r>
              <w:rPr>
                <w:lang w:val="ka"/>
              </w:rPr>
              <w:t xml:space="preserve">დირექტივის უშუალო გამოყენება — „იხ.</w:t>
            </w:r>
            <w:r>
              <w:rPr>
                <w:lang w:val="ka"/>
              </w:rPr>
              <w:t xml:space="preserve"> </w:t>
            </w:r>
            <w:r>
              <w:rPr>
                <w:b/>
                <w:bCs/>
                <w:lang w:val="ka"/>
              </w:rPr>
              <w:t xml:space="preserve">308</w:t>
            </w:r>
            <w:r>
              <w:rPr>
                <w:lang w:val="ka"/>
              </w:rPr>
              <w:t xml:space="preserve">-ე პუნქტი“ (109, სქოლ. 188)</w:t>
            </w:r>
          </w:p>
        </w:tc>
        <w:tc>
          <w:tcPr/>
          <w:p>
            <w:pPr>
              <w:pStyle w:val="Compact"/>
            </w:pPr>
            <w:r>
              <w:rPr>
                <w:lang w:val="ka"/>
              </w:rPr>
              <w:t xml:space="preserve">თემა — პარ.</w:t>
            </w:r>
            <w:r>
              <w:rPr>
                <w:lang w:val="ka"/>
              </w:rPr>
              <w:t xml:space="preserve"> </w:t>
            </w:r>
            <w:r>
              <w:rPr>
                <w:b/>
                <w:bCs/>
                <w:lang w:val="ka"/>
              </w:rPr>
              <w:t xml:space="preserve">310–312</w:t>
            </w:r>
          </w:p>
        </w:tc>
      </w:tr>
    </w:tbl>
    <w:p>
      <w:pPr>
        <w:pStyle w:val="BodyText"/>
      </w:pPr>
      <w:r>
        <w:rPr>
          <w:i/>
          <w:iCs/>
          <w:lang w:val="ka"/>
        </w:rPr>
        <w:t xml:space="preserve">სრული სია — ლექტორის „შეცდომების“ გვერდზე.</w:t>
      </w:r>
    </w:p>
    <w:p>
      <w:r>
        <w:pict>
          <v:rect style="width:0;height:1.5pt" o:hralign="center" o:hrstd="t" o:hr="t"/>
        </w:pict>
      </w:r>
    </w:p>
    <w:bookmarkEnd w:id="25"/>
    <w:bookmarkStart w:id="26" w:name="Xb17c9d7bb6501e2aaeee961c447fa4c34728e3d"/>
    <w:p>
      <w:pPr>
        <w:pStyle w:val="Heading1"/>
      </w:pPr>
      <w:r>
        <w:rPr>
          <w:lang w:val="ka"/>
        </w:rPr>
        <w:t xml:space="preserve">VI. 🔓 დასაწყისის ამოხსნა — ერთი მუხლი, ორი შედეგი</w:t>
      </w:r>
    </w:p>
    <w:p>
      <w:pPr>
        <w:pStyle w:val="FirstParagraph"/>
      </w:pPr>
      <w:r>
        <w:rPr>
          <w:b/>
          <w:bCs/>
          <w:lang w:val="ka"/>
        </w:rPr>
        <w:t xml:space="preserve">1. პასუხი — TFEU 288-ში.</w:t>
      </w:r>
      <w:r>
        <w:rPr>
          <w:lang w:val="ka"/>
        </w:rPr>
        <w:t xml:space="preserve"> </w:t>
      </w:r>
      <w:r>
        <w:rPr>
          <w:lang w:val="ka"/>
        </w:rPr>
        <w:t xml:space="preserve">რეგულაცია „directly applicable in all Member States“ — ის ეროვნული სამართლის ნაწილი ხდება</w:t>
      </w:r>
      <w:r>
        <w:rPr>
          <w:lang w:val="ka"/>
        </w:rPr>
        <w:t xml:space="preserve"> </w:t>
      </w:r>
      <w:r>
        <w:rPr>
          <w:b/>
          <w:bCs/>
          <w:lang w:val="ka"/>
        </w:rPr>
        <w:t xml:space="preserve">თავისთავად</w:t>
      </w:r>
      <w:r>
        <w:rPr>
          <w:lang w:val="ka"/>
        </w:rPr>
        <w:t xml:space="preserve">. დირექტივა კი „leave[s] to the national authorities the</w:t>
      </w:r>
      <w:r>
        <w:rPr>
          <w:lang w:val="ka"/>
        </w:rPr>
        <w:t xml:space="preserve"> </w:t>
      </w:r>
      <w:r>
        <w:rPr>
          <w:b/>
          <w:bCs/>
          <w:lang w:val="ka"/>
        </w:rPr>
        <w:t xml:space="preserve">choice of form and methods</w:t>
      </w:r>
      <w:r>
        <w:rPr>
          <w:lang w:val="ka"/>
        </w:rPr>
        <w:t xml:space="preserve">“ — მას</w:t>
      </w:r>
      <w:r>
        <w:rPr>
          <w:lang w:val="ka"/>
        </w:rPr>
        <w:t xml:space="preserve"> </w:t>
      </w:r>
      <w:r>
        <w:rPr>
          <w:b/>
          <w:bCs/>
          <w:lang w:val="ka"/>
        </w:rPr>
        <w:t xml:space="preserve">სჭირდება</w:t>
      </w:r>
      <w:r>
        <w:rPr>
          <w:lang w:val="ka"/>
        </w:rPr>
        <w:t xml:space="preserve"> </w:t>
      </w:r>
      <w:r>
        <w:rPr>
          <w:lang w:val="ka"/>
        </w:rPr>
        <w:t xml:space="preserve">ეროვნული აქტი.</w:t>
      </w:r>
    </w:p>
    <w:p>
      <w:pPr>
        <w:pStyle w:val="BodyText"/>
      </w:pPr>
      <w:r>
        <w:rPr>
          <w:b/>
          <w:bCs/>
          <w:lang w:val="ka"/>
        </w:rPr>
        <w:t xml:space="preserve">2. რატომ აკრძალულია რეგულაციის გადაწერა?</w:t>
      </w:r>
      <w:r>
        <w:rPr>
          <w:lang w:val="ka"/>
        </w:rPr>
        <w:t xml:space="preserve"> </w:t>
      </w:r>
      <w:r>
        <w:rPr>
          <w:lang w:val="ka"/>
        </w:rPr>
        <w:t xml:space="preserve">გაბრიჩიძე (პარ. 291) აკრძალვას ასახელებს და საქმეებზე მიუთითებს (</w:t>
      </w:r>
      <w:r>
        <w:rPr>
          <w:i/>
          <w:iCs/>
          <w:lang w:val="ka"/>
        </w:rPr>
        <w:t xml:space="preserve">Politi</w:t>
      </w:r>
      <w:r>
        <w:rPr>
          <w:lang w:val="ka"/>
        </w:rPr>
        <w:t xml:space="preserve">, 43/71;</w:t>
      </w:r>
      <w:r>
        <w:rPr>
          <w:lang w:val="ka"/>
        </w:rPr>
        <w:t xml:space="preserve"> </w:t>
      </w:r>
      <w:r>
        <w:rPr>
          <w:i/>
          <w:iCs/>
          <w:lang w:val="ka"/>
        </w:rPr>
        <w:t xml:space="preserve">Commission v Italy</w:t>
      </w:r>
      <w:r>
        <w:rPr>
          <w:lang w:val="ka"/>
        </w:rPr>
        <w:t xml:space="preserve">, 39/72 — ⚠️ ლოკალურად</w:t>
      </w:r>
      <w:r>
        <w:rPr>
          <w:lang w:val="ka"/>
        </w:rPr>
        <w:t xml:space="preserve"> </w:t>
      </w:r>
      <w:r>
        <w:rPr>
          <w:b/>
          <w:bCs/>
          <w:lang w:val="ka"/>
        </w:rPr>
        <w:t xml:space="preserve">არ</w:t>
      </w:r>
      <w:r>
        <w:rPr>
          <w:lang w:val="ka"/>
        </w:rPr>
        <w:t xml:space="preserve"> </w:t>
      </w:r>
      <w:r>
        <w:rPr>
          <w:lang w:val="ka"/>
        </w:rPr>
        <w:t xml:space="preserve">გვაქვს, ამიტომ სასამართლოს არგუმენტს აქ</w:t>
      </w:r>
      <w:r>
        <w:rPr>
          <w:lang w:val="ka"/>
        </w:rPr>
        <w:t xml:space="preserve"> </w:t>
      </w:r>
      <w:r>
        <w:rPr>
          <w:b/>
          <w:bCs/>
          <w:lang w:val="ka"/>
        </w:rPr>
        <w:t xml:space="preserve">არ</w:t>
      </w:r>
      <w:r>
        <w:rPr>
          <w:lang w:val="ka"/>
        </w:rPr>
        <w:t xml:space="preserve"> </w:t>
      </w:r>
      <w:r>
        <w:rPr>
          <w:lang w:val="ka"/>
        </w:rPr>
        <w:t xml:space="preserve">ვციტირებთ).</w:t>
      </w:r>
      <w:r>
        <w:rPr>
          <w:lang w:val="ka"/>
        </w:rPr>
        <w:t xml:space="preserve"> </w:t>
      </w:r>
      <w:r>
        <w:rPr>
          <w:b/>
          <w:bCs/>
          <w:lang w:val="ka"/>
        </w:rPr>
        <w:t xml:space="preserve">ჩვენი ინტერპრეტაცია</w:t>
      </w:r>
      <w:r>
        <w:rPr>
          <w:lang w:val="ka"/>
        </w:rPr>
        <w:t xml:space="preserve"> </w:t>
      </w:r>
      <w:r>
        <w:rPr>
          <w:lang w:val="ka"/>
        </w:rPr>
        <w:t xml:space="preserve">(288-ის ლოგიკით): ეროვნული ასლი (ა)</w:t>
      </w:r>
      <w:r>
        <w:rPr>
          <w:lang w:val="ka"/>
        </w:rPr>
        <w:t xml:space="preserve"> </w:t>
      </w:r>
      <w:r>
        <w:rPr>
          <w:b/>
          <w:bCs/>
          <w:lang w:val="ka"/>
        </w:rPr>
        <w:t xml:space="preserve">ფარავს</w:t>
      </w:r>
      <w:r>
        <w:rPr>
          <w:lang w:val="ka"/>
        </w:rPr>
        <w:t xml:space="preserve">, რომ ნორმის წყარო ევროკავშირია — პირი ვერ გაიგებს, რომ მას ევროკავშირის სამართლის ძალა აქვს (პრიმატი, ერთგვაროვანი განმარტება —</w:t>
      </w:r>
      <w:r>
        <w:rPr>
          <w:lang w:val="ka"/>
        </w:rPr>
        <w:t xml:space="preserve"> </w:t>
      </w:r>
      <w:r>
        <w:rPr>
          <w:b/>
          <w:bCs/>
          <w:lang w:val="ka"/>
        </w:rPr>
        <w:t xml:space="preserve">კვირა 7</w:t>
      </w:r>
      <w:r>
        <w:rPr>
          <w:lang w:val="ka"/>
        </w:rPr>
        <w:t xml:space="preserve">); (ბ) ქმნის</w:t>
      </w:r>
      <w:r>
        <w:rPr>
          <w:lang w:val="ka"/>
        </w:rPr>
        <w:t xml:space="preserve"> </w:t>
      </w:r>
      <w:r>
        <w:rPr>
          <w:b/>
          <w:bCs/>
          <w:lang w:val="ka"/>
        </w:rPr>
        <w:t xml:space="preserve">ორ</w:t>
      </w:r>
      <w:r>
        <w:rPr>
          <w:lang w:val="ka"/>
        </w:rPr>
        <w:t xml:space="preserve"> </w:t>
      </w:r>
      <w:r>
        <w:rPr>
          <w:lang w:val="ka"/>
        </w:rPr>
        <w:t xml:space="preserve">ტექსტს ერთი ნორმისთვის — რეგულაციის შეცვლისას ასლი „ძველდება“.</w:t>
      </w:r>
    </w:p>
    <w:p>
      <w:pPr>
        <w:pStyle w:val="BodyText"/>
      </w:pPr>
      <w:r>
        <w:rPr>
          <w:b/>
          <w:bCs/>
          <w:lang w:val="ka"/>
        </w:rPr>
        <w:t xml:space="preserve">3. ნიუანსი:</w:t>
      </w:r>
      <w:r>
        <w:rPr>
          <w:lang w:val="ka"/>
        </w:rPr>
        <w:t xml:space="preserve"> </w:t>
      </w:r>
      <w:r>
        <w:rPr>
          <w:lang w:val="ka"/>
        </w:rPr>
        <w:t xml:space="preserve">თუ რეგულაცია</w:t>
      </w:r>
      <w:r>
        <w:rPr>
          <w:lang w:val="ka"/>
        </w:rPr>
        <w:t xml:space="preserve"> </w:t>
      </w:r>
      <w:r>
        <w:rPr>
          <w:b/>
          <w:bCs/>
          <w:lang w:val="ka"/>
        </w:rPr>
        <w:t xml:space="preserve">თავად</w:t>
      </w:r>
      <w:r>
        <w:rPr>
          <w:lang w:val="ka"/>
        </w:rPr>
        <w:t xml:space="preserve"> </w:t>
      </w:r>
      <w:r>
        <w:rPr>
          <w:lang w:val="ka"/>
        </w:rPr>
        <w:t xml:space="preserve">ითხოვს ეროვნულ ღონისძიებას (მაგ., ორგანოს დანიშვნას ან სანქციას), სახელმწიფო</w:t>
      </w:r>
      <w:r>
        <w:rPr>
          <w:lang w:val="ka"/>
        </w:rPr>
        <w:t xml:space="preserve"> </w:t>
      </w:r>
      <w:r>
        <w:rPr>
          <w:b/>
          <w:bCs/>
          <w:lang w:val="ka"/>
        </w:rPr>
        <w:t xml:space="preserve">ვალდებულია</w:t>
      </w:r>
      <w:r>
        <w:rPr>
          <w:lang w:val="ka"/>
        </w:rPr>
        <w:t xml:space="preserve"> </w:t>
      </w:r>
      <w:r>
        <w:rPr>
          <w:lang w:val="ka"/>
        </w:rPr>
        <w:t xml:space="preserve">— ოღონდ რეგულაციის შინაარსს ვერ შეცვლის (გაბრიჩიძე, პარ. 291, სქოლ. 146 —</w:t>
      </w:r>
      <w:r>
        <w:rPr>
          <w:lang w:val="ka"/>
        </w:rPr>
        <w:t xml:space="preserve"> </w:t>
      </w:r>
      <w:r>
        <w:rPr>
          <w:i/>
          <w:iCs/>
          <w:lang w:val="ka"/>
        </w:rPr>
        <w:t xml:space="preserve">Bollmann</w:t>
      </w:r>
      <w:r>
        <w:rPr>
          <w:lang w:val="ka"/>
        </w:rPr>
        <w:t xml:space="preserve">, 40/69).</w:t>
      </w:r>
    </w:p>
    <w:p>
      <w:pPr>
        <w:pStyle w:val="BlockText"/>
      </w:pPr>
      <w:r>
        <w:rPr>
          <w:lang w:val="ka"/>
        </w:rPr>
        <w:t xml:space="preserve">✅</w:t>
      </w:r>
      <w:r>
        <w:rPr>
          <w:lang w:val="ka"/>
        </w:rPr>
        <w:t xml:space="preserve"> </w:t>
      </w:r>
      <w:r>
        <w:rPr>
          <w:b/>
          <w:bCs/>
          <w:lang w:val="ka"/>
        </w:rPr>
        <w:t xml:space="preserve">პასუხი:</w:t>
      </w:r>
      <w:r>
        <w:rPr>
          <w:lang w:val="ka"/>
        </w:rPr>
        <w:t xml:space="preserve"> </w:t>
      </w:r>
      <w:r>
        <w:rPr>
          <w:lang w:val="ka"/>
        </w:rPr>
        <w:t xml:space="preserve">ეს ორი აქტის</w:t>
      </w:r>
      <w:r>
        <w:rPr>
          <w:lang w:val="ka"/>
        </w:rPr>
        <w:t xml:space="preserve"> </w:t>
      </w:r>
      <w:r>
        <w:rPr>
          <w:b/>
          <w:bCs/>
          <w:lang w:val="ka"/>
        </w:rPr>
        <w:t xml:space="preserve">განსხვავებული ბუნებაა</w:t>
      </w:r>
      <w:r>
        <w:rPr>
          <w:lang w:val="ka"/>
        </w:rPr>
        <w:t xml:space="preserve"> </w:t>
      </w:r>
      <w:r>
        <w:rPr>
          <w:lang w:val="ka"/>
        </w:rPr>
        <w:t xml:space="preserve">(288): რეგულაცია = უკვე „ჩვენი“ სამართალი → გადაწერა ზედმეტი და საზიანოა; დირექტივა = დავალება სახელმწიფოს → გადატანა სავალდებულოა.</w:t>
      </w:r>
      <w:r>
        <w:rPr>
          <w:lang w:val="ka"/>
        </w:rPr>
        <w:t xml:space="preserve"> </w:t>
      </w:r>
      <w:r>
        <w:rPr>
          <w:b/>
          <w:bCs/>
          <w:lang w:val="ka"/>
        </w:rPr>
        <w:t xml:space="preserve">მეთოდოლოგიური გაკვეთილი:</w:t>
      </w:r>
      <w:r>
        <w:rPr>
          <w:lang w:val="ka"/>
        </w:rPr>
        <w:t xml:space="preserve"> </w:t>
      </w:r>
      <w:r>
        <w:rPr>
          <w:lang w:val="ka"/>
        </w:rPr>
        <w:t xml:space="preserve">სანამ აქტს წაიკითხავთ, ნახეთ</w:t>
      </w:r>
      <w:r>
        <w:rPr>
          <w:lang w:val="ka"/>
        </w:rPr>
        <w:t xml:space="preserve"> </w:t>
      </w:r>
      <w:r>
        <w:rPr>
          <w:b/>
          <w:bCs/>
          <w:lang w:val="ka"/>
        </w:rPr>
        <w:t xml:space="preserve">სათაური</w:t>
      </w:r>
      <w:r>
        <w:rPr>
          <w:lang w:val="ka"/>
        </w:rPr>
        <w:t xml:space="preserve"> </w:t>
      </w:r>
      <w:r>
        <w:rPr>
          <w:lang w:val="ka"/>
        </w:rPr>
        <w:t xml:space="preserve">— „Regulation“ თუ „Directive“ — ეს ამბობს, ვის რა ევალება.</w:t>
      </w:r>
    </w:p>
    <w:bookmarkEnd w:id="26"/>
    <w:p>
      <w:r>
        <w:pict>
          <v:rect style="width:0;height:1.5pt" o:hralign="center" o:hrstd="t" o:hr="t"/>
        </w:pict>
      </w:r>
    </w:p>
    <w:bookmarkStart w:id="27" w:name="გადამოწმების-კითხვები"/>
    <w:p>
      <w:pPr>
        <w:pStyle w:val="Heading1"/>
      </w:pPr>
      <w:r>
        <w:rPr>
          <w:lang w:val="ka"/>
        </w:rPr>
        <w:t xml:space="preserve">გადამოწმების კითხვები</w:t>
      </w:r>
    </w:p>
    <w:p>
      <w:pPr>
        <w:pStyle w:val="Compact"/>
        <w:numPr>
          <w:ilvl w:val="0"/>
          <w:numId w:val="1003"/>
        </w:numPr>
      </w:pPr>
      <w:r>
        <w:rPr>
          <w:lang w:val="ka"/>
        </w:rPr>
        <w:t xml:space="preserve">რა განსხვავებაა პირველად და მეორად სამართალს შორის? სად დგას ევროკავშირის საერთაშორისო შეთანხმება?</w:t>
      </w:r>
    </w:p>
    <w:p>
      <w:pPr>
        <w:pStyle w:val="Compact"/>
        <w:numPr>
          <w:ilvl w:val="0"/>
          <w:numId w:val="1003"/>
        </w:numPr>
      </w:pPr>
      <w:r>
        <w:rPr>
          <w:lang w:val="ka"/>
        </w:rPr>
        <w:t xml:space="preserve">ოქმი და დეკლარაცია — რომელია ხელშეკრულების ნაწილი (TEU 51)?</w:t>
      </w:r>
    </w:p>
    <w:p>
      <w:pPr>
        <w:pStyle w:val="Compact"/>
        <w:numPr>
          <w:ilvl w:val="0"/>
          <w:numId w:val="1003"/>
        </w:numPr>
      </w:pPr>
      <w:r>
        <w:rPr>
          <w:lang w:val="ka"/>
        </w:rPr>
        <w:t xml:space="preserve">რა ძალა აქვს ქარტიას ლისაბონიდან (TEU 6(1))?</w:t>
      </w:r>
    </w:p>
    <w:p>
      <w:pPr>
        <w:pStyle w:val="Compact"/>
        <w:numPr>
          <w:ilvl w:val="0"/>
          <w:numId w:val="1003"/>
        </w:numPr>
      </w:pPr>
      <w:r>
        <w:rPr>
          <w:lang w:val="ka"/>
        </w:rPr>
        <w:t xml:space="preserve">რას ნიშნავს „საყოველთაო სამართლებრივი პრინციპი“? რა თქვა სასამართლომ</w:t>
      </w:r>
      <w:r>
        <w:rPr>
          <w:lang w:val="ka"/>
        </w:rPr>
        <w:t xml:space="preserve"> </w:t>
      </w:r>
      <w:r>
        <w:rPr>
          <w:i/>
          <w:iCs/>
          <w:lang w:val="ka"/>
        </w:rPr>
        <w:t xml:space="preserve">Internationale Handelsgesellschaft</w:t>
      </w:r>
      <w:r>
        <w:rPr>
          <w:lang w:val="ka"/>
        </w:rPr>
        <w:t xml:space="preserve">-ში?</w:t>
      </w:r>
    </w:p>
    <w:p>
      <w:pPr>
        <w:pStyle w:val="Compact"/>
        <w:numPr>
          <w:ilvl w:val="0"/>
          <w:numId w:val="1003"/>
        </w:numPr>
      </w:pPr>
      <w:r>
        <w:rPr>
          <w:lang w:val="ka"/>
        </w:rPr>
        <w:t xml:space="preserve">დაასახელეთ TFEU 288-ის ხუთი აქტი და თითოეულის ძალა — ზეპირად.</w:t>
      </w:r>
    </w:p>
    <w:p>
      <w:pPr>
        <w:pStyle w:val="Compact"/>
        <w:numPr>
          <w:ilvl w:val="0"/>
          <w:numId w:val="1003"/>
        </w:numPr>
      </w:pPr>
      <w:r>
        <w:rPr>
          <w:lang w:val="ka"/>
        </w:rPr>
        <w:t xml:space="preserve">რა განსხვავებაა რეგულაციასა და დირექტივას შორის (ადრესატი, ძალა, ეროვნული აქტი)?</w:t>
      </w:r>
    </w:p>
    <w:p>
      <w:pPr>
        <w:pStyle w:val="Compact"/>
        <w:numPr>
          <w:ilvl w:val="0"/>
          <w:numId w:val="1003"/>
        </w:numPr>
      </w:pPr>
      <w:r>
        <w:rPr>
          <w:lang w:val="ka"/>
        </w:rPr>
        <w:t xml:space="preserve">რა ითვლება დირექტივის</w:t>
      </w:r>
      <w:r>
        <w:rPr>
          <w:lang w:val="ka"/>
        </w:rPr>
        <w:t xml:space="preserve"> </w:t>
      </w:r>
      <w:r>
        <w:rPr>
          <w:b/>
          <w:bCs/>
          <w:lang w:val="ka"/>
        </w:rPr>
        <w:t xml:space="preserve">სათანადო</w:t>
      </w:r>
      <w:r>
        <w:rPr>
          <w:lang w:val="ka"/>
        </w:rPr>
        <w:t xml:space="preserve"> </w:t>
      </w:r>
      <w:r>
        <w:rPr>
          <w:lang w:val="ka"/>
        </w:rPr>
        <w:t xml:space="preserve">იმპლემენტაციად? რა მოხდება, თუ სახელმწიფო დირექტივას ვადაში არ გადაიტანს?</w:t>
      </w:r>
    </w:p>
    <w:p>
      <w:pPr>
        <w:pStyle w:val="Compact"/>
        <w:numPr>
          <w:ilvl w:val="0"/>
          <w:numId w:val="1003"/>
        </w:numPr>
      </w:pPr>
      <w:r>
        <w:rPr>
          <w:lang w:val="ka"/>
        </w:rPr>
        <w:t xml:space="preserve">როგორ შეიძლება გადაწყვეტილებას ადრესატი არ ჰყავდეს? მოიყვანეთ მაგალითი.</w:t>
      </w:r>
    </w:p>
    <w:p>
      <w:pPr>
        <w:pStyle w:val="Compact"/>
        <w:numPr>
          <w:ilvl w:val="0"/>
          <w:numId w:val="1003"/>
        </w:numPr>
      </w:pPr>
      <w:r>
        <w:rPr>
          <w:lang w:val="ka"/>
        </w:rPr>
        <w:t xml:space="preserve">რეკომენდაცია სავალდებულო არ არის — რა სამართლებრივი შედეგი შეიძლება მაინც ჰქონდეს?</w:t>
      </w:r>
    </w:p>
    <w:p>
      <w:pPr>
        <w:pStyle w:val="Compact"/>
        <w:numPr>
          <w:ilvl w:val="0"/>
          <w:numId w:val="1003"/>
        </w:numPr>
      </w:pPr>
      <w:r>
        <w:rPr>
          <w:lang w:val="ka"/>
        </w:rPr>
        <w:t xml:space="preserve">რა განსხვავებაა საკანონმდებლო, დელეგირებულ და განმახორციელებელ აქტს შორის?</w:t>
      </w:r>
    </w:p>
    <w:p>
      <w:pPr>
        <w:pStyle w:val="Compact"/>
        <w:numPr>
          <w:ilvl w:val="0"/>
          <w:numId w:val="1003"/>
        </w:numPr>
      </w:pPr>
      <w:r>
        <w:rPr>
          <w:lang w:val="ka"/>
        </w:rPr>
        <w:t xml:space="preserve">რატომ არის რეგულაციის სიტყვასიტყვით გადაწერა ეროვნულ კანონში დაუშვებელი?</w:t>
      </w:r>
    </w:p>
    <w:p>
      <w:pPr>
        <w:pStyle w:val="Compact"/>
        <w:numPr>
          <w:ilvl w:val="0"/>
          <w:numId w:val="1003"/>
        </w:numPr>
      </w:pPr>
      <w:r>
        <w:rPr>
          <w:i/>
          <w:iCs/>
          <w:lang w:val="ka"/>
        </w:rPr>
        <w:t xml:space="preserve">Defrenne II</w:t>
      </w:r>
      <w:r>
        <w:rPr>
          <w:lang w:val="ka"/>
        </w:rPr>
        <w:t xml:space="preserve">: შეიძლება თუ არა ხელშეკრულების მუხლზე დაყრდნობა</w:t>
      </w:r>
      <w:r>
        <w:rPr>
          <w:lang w:val="ka"/>
        </w:rPr>
        <w:t xml:space="preserve"> </w:t>
      </w:r>
      <w:r>
        <w:rPr>
          <w:b/>
          <w:bCs/>
          <w:lang w:val="ka"/>
        </w:rPr>
        <w:t xml:space="preserve">კერძო</w:t>
      </w:r>
      <w:r>
        <w:rPr>
          <w:lang w:val="ka"/>
        </w:rPr>
        <w:t xml:space="preserve"> </w:t>
      </w:r>
      <w:r>
        <w:rPr>
          <w:lang w:val="ka"/>
        </w:rPr>
        <w:t xml:space="preserve">დამსაქმებლის წინააღმდეგ?</w:t>
      </w:r>
    </w:p>
    <w:p>
      <w:r>
        <w:pict>
          <v:rect style="width:0;height:1.5pt" o:hralign="center" o:hrstd="t" o:hr="t"/>
        </w:pict>
      </w:r>
    </w:p>
    <w:bookmarkEnd w:id="27"/>
    <w:bookmarkStart w:id="28" w:name="წყაროები"/>
    <w:p>
      <w:pPr>
        <w:pStyle w:val="Heading1"/>
      </w:pPr>
      <w:r>
        <w:rPr>
          <w:lang w:val="ka"/>
        </w:rPr>
        <w:t xml:space="preserve">წყაროები</w:t>
      </w:r>
    </w:p>
    <w:p>
      <w:pPr>
        <w:pStyle w:val="FirstParagraph"/>
      </w:pPr>
      <w:r>
        <w:rPr>
          <w:b/>
          <w:bCs/>
          <w:lang w:val="ka"/>
        </w:rPr>
        <w:t xml:space="preserve">პირველწყაროები (ღია, ოფიციალური):</w:t>
      </w:r>
    </w:p>
    <w:p>
      <w:pPr>
        <w:pStyle w:val="Compact"/>
        <w:numPr>
          <w:ilvl w:val="0"/>
          <w:numId w:val="1004"/>
        </w:numPr>
      </w:pPr>
      <w:r>
        <w:rPr>
          <w:lang w:val="ka"/>
        </w:rPr>
        <w:t xml:space="preserve">TEU / TFEU — consolidated versions (EUR-Lex CELEX 02016ME/TXT-20250315, consolidated</w:t>
      </w:r>
      <w:r>
        <w:rPr>
          <w:lang w:val="ka"/>
        </w:rPr>
        <w:t xml:space="preserve"> </w:t>
      </w:r>
      <w:r>
        <w:rPr>
          <w:b/>
          <w:bCs/>
          <w:lang w:val="ka"/>
        </w:rPr>
        <w:t xml:space="preserve">15.03.2025</w:t>
      </w:r>
      <w:r>
        <w:rPr>
          <w:lang w:val="ka"/>
        </w:rPr>
        <w:t xml:space="preserve">) — TEU მუხ. 4(3), 5, 6, 16(2), 48, 51, 52; TFEU მუხ. 157, 216, 258, 260, 263, 288–299, 340, 355.</w:t>
      </w:r>
    </w:p>
    <w:p>
      <w:pPr>
        <w:pStyle w:val="Compact"/>
        <w:numPr>
          <w:ilvl w:val="0"/>
          <w:numId w:val="1004"/>
        </w:numPr>
      </w:pPr>
      <w:r>
        <w:rPr>
          <w:lang w:val="ka"/>
        </w:rPr>
        <w:t xml:space="preserve">Treaty on European Union (Maastricht), Art. G.A.1 (OJ C 191, 29.7.1992); Treaty of Amsterdam, Table of equivalences (OJ C 340, 10.11.1997, p. 85 ff.).</w:t>
      </w:r>
    </w:p>
    <w:p>
      <w:pPr>
        <w:pStyle w:val="Compact"/>
        <w:numPr>
          <w:ilvl w:val="0"/>
          <w:numId w:val="1004"/>
        </w:numPr>
      </w:pPr>
      <w:r>
        <w:rPr>
          <w:lang w:val="ka"/>
        </w:rPr>
        <w:t xml:space="preserve">CJEU, Case 11/70,</w:t>
      </w:r>
      <w:r>
        <w:rPr>
          <w:lang w:val="ka"/>
        </w:rPr>
        <w:t xml:space="preserve"> </w:t>
      </w:r>
      <w:r>
        <w:rPr>
          <w:i/>
          <w:iCs/>
          <w:lang w:val="ka"/>
        </w:rPr>
        <w:t xml:space="preserve">Internationale Handelsgesellschaft</w:t>
      </w:r>
      <w:r>
        <w:rPr>
          <w:lang w:val="ka"/>
        </w:rPr>
        <w:t xml:space="preserve">, 17 December 1970, ECLI:EU:C:1970:114.</w:t>
      </w:r>
    </w:p>
    <w:p>
      <w:pPr>
        <w:pStyle w:val="Compact"/>
        <w:numPr>
          <w:ilvl w:val="0"/>
          <w:numId w:val="1004"/>
        </w:numPr>
      </w:pPr>
      <w:r>
        <w:rPr>
          <w:lang w:val="ka"/>
        </w:rPr>
        <w:t xml:space="preserve">CJEU, Case 43/75,</w:t>
      </w:r>
      <w:r>
        <w:rPr>
          <w:lang w:val="ka"/>
        </w:rPr>
        <w:t xml:space="preserve"> </w:t>
      </w:r>
      <w:r>
        <w:rPr>
          <w:i/>
          <w:iCs/>
          <w:lang w:val="ka"/>
        </w:rPr>
        <w:t xml:space="preserve">Defrenne v Sabena</w:t>
      </w:r>
      <w:r>
        <w:rPr>
          <w:lang w:val="ka"/>
        </w:rPr>
        <w:t xml:space="preserve"> </w:t>
      </w:r>
      <w:r>
        <w:rPr>
          <w:lang w:val="ka"/>
        </w:rPr>
        <w:t xml:space="preserve">(Defrenne II), 8 April 1976, ECLI:EU:C:1976:56.</w:t>
      </w:r>
    </w:p>
    <w:p>
      <w:pPr>
        <w:pStyle w:val="Compact"/>
        <w:numPr>
          <w:ilvl w:val="0"/>
          <w:numId w:val="1004"/>
        </w:numPr>
      </w:pPr>
      <w:r>
        <w:rPr>
          <w:lang w:val="ka"/>
        </w:rPr>
        <w:t xml:space="preserve">CJEU, Case 152/84,</w:t>
      </w:r>
      <w:r>
        <w:rPr>
          <w:lang w:val="ka"/>
        </w:rPr>
        <w:t xml:space="preserve"> </w:t>
      </w:r>
      <w:r>
        <w:rPr>
          <w:i/>
          <w:iCs/>
          <w:lang w:val="ka"/>
        </w:rPr>
        <w:t xml:space="preserve">Marshall v Southampton and South-West Hampshire Area Health Authority</w:t>
      </w:r>
      <w:r>
        <w:rPr>
          <w:lang w:val="ka"/>
        </w:rPr>
        <w:t xml:space="preserve">, 26 February 1986, ECLI:EU:C:1986:84.</w:t>
      </w:r>
    </w:p>
    <w:p>
      <w:pPr>
        <w:pStyle w:val="Compact"/>
        <w:numPr>
          <w:ilvl w:val="0"/>
          <w:numId w:val="1004"/>
        </w:numPr>
      </w:pPr>
      <w:r>
        <w:rPr>
          <w:lang w:val="ka"/>
        </w:rPr>
        <w:t xml:space="preserve">CJEU, Case 26/62,</w:t>
      </w:r>
      <w:r>
        <w:rPr>
          <w:lang w:val="ka"/>
        </w:rPr>
        <w:t xml:space="preserve"> </w:t>
      </w:r>
      <w:r>
        <w:rPr>
          <w:i/>
          <w:iCs/>
          <w:lang w:val="ka"/>
        </w:rPr>
        <w:t xml:space="preserve">Van Gend en Loos</w:t>
      </w:r>
      <w:r>
        <w:rPr>
          <w:lang w:val="ka"/>
        </w:rPr>
        <w:t xml:space="preserve">, 5 February 1963, ECLI:EU:C:1963:1.</w:t>
      </w:r>
    </w:p>
    <w:p>
      <w:pPr>
        <w:pStyle w:val="FirstParagraph"/>
      </w:pPr>
      <w:r>
        <w:rPr>
          <w:b/>
          <w:bCs/>
          <w:lang w:val="ka"/>
        </w:rPr>
        <w:t xml:space="preserve">ღია სახელმძღვანელო:</w:t>
      </w:r>
    </w:p>
    <w:p>
      <w:pPr>
        <w:pStyle w:val="Compact"/>
        <w:numPr>
          <w:ilvl w:val="0"/>
          <w:numId w:val="1005"/>
        </w:numPr>
      </w:pPr>
      <w:r>
        <w:rPr>
          <w:lang w:val="ka"/>
        </w:rPr>
        <w:t xml:space="preserve">K.-D. Borchardt,</w:t>
      </w:r>
      <w:r>
        <w:rPr>
          <w:lang w:val="ka"/>
        </w:rPr>
        <w:t xml:space="preserve"> </w:t>
      </w:r>
      <w:r>
        <w:rPr>
          <w:i/>
          <w:iCs/>
          <w:lang w:val="ka"/>
        </w:rPr>
        <w:t xml:space="preserve">The ABC of EU Law</w:t>
      </w:r>
      <w:r>
        <w:rPr>
          <w:lang w:val="ka"/>
        </w:rPr>
        <w:t xml:space="preserve"> </w:t>
      </w:r>
      <w:r>
        <w:rPr>
          <w:lang w:val="ka"/>
        </w:rPr>
        <w:t xml:space="preserve">(European Commission, 2023), doi:10.2775/745544 — CC BY 4.0 (ქრონოლოგია; სამართლის წყაროები).</w:t>
      </w:r>
    </w:p>
    <w:p>
      <w:pPr>
        <w:pStyle w:val="FirstParagraph"/>
      </w:pPr>
      <w:r>
        <w:rPr>
          <w:b/>
          <w:bCs/>
          <w:lang w:val="ka"/>
        </w:rPr>
        <w:t xml:space="preserve">სილაბუსის ლიტერატურა</w:t>
      </w:r>
      <w:r>
        <w:rPr>
          <w:lang w:val="ka"/>
        </w:rPr>
        <w:t xml:space="preserve"> </w:t>
      </w:r>
      <w:r>
        <w:rPr>
          <w:i/>
          <w:iCs/>
          <w:lang w:val="ka"/>
        </w:rPr>
        <w:t xml:space="preserve">(საავტორო უფლებით დაცული — ხელმისაწვდომია ბიბლიოთეკაში)</w:t>
      </w:r>
      <w:r>
        <w:rPr>
          <w:lang w:val="ka"/>
        </w:rPr>
        <w:t xml:space="preserve">:</w:t>
      </w:r>
    </w:p>
    <w:p>
      <w:pPr>
        <w:pStyle w:val="Compact"/>
        <w:numPr>
          <w:ilvl w:val="0"/>
          <w:numId w:val="1006"/>
        </w:numPr>
      </w:pPr>
      <w:r>
        <w:rPr>
          <w:lang w:val="ka"/>
        </w:rPr>
        <w:t xml:space="preserve">გ. გაბრიჩიძე,</w:t>
      </w:r>
      <w:r>
        <w:rPr>
          <w:lang w:val="ka"/>
        </w:rPr>
        <w:t xml:space="preserve"> </w:t>
      </w:r>
      <w:r>
        <w:rPr>
          <w:i/>
          <w:iCs/>
          <w:lang w:val="ka"/>
        </w:rPr>
        <w:t xml:space="preserve">ევროპის კავშირის სამართალი</w:t>
      </w:r>
      <w:r>
        <w:rPr>
          <w:lang w:val="ka"/>
        </w:rPr>
        <w:t xml:space="preserve">, მე-2 გამოცემა (2023), გვ. 86–112 (თავი VI — სამართლის წყაროები).</w:t>
      </w:r>
    </w:p>
    <w:p>
      <w:pPr>
        <w:pStyle w:val="Compact"/>
        <w:numPr>
          <w:ilvl w:val="0"/>
          <w:numId w:val="1006"/>
        </w:numPr>
      </w:pPr>
      <w:r>
        <w:rPr>
          <w:lang w:val="ka"/>
        </w:rPr>
        <w:t xml:space="preserve">გ. მირიანაშვილი,</w:t>
      </w:r>
      <w:r>
        <w:rPr>
          <w:lang w:val="ka"/>
        </w:rPr>
        <w:t xml:space="preserve"> </w:t>
      </w:r>
      <w:r>
        <w:rPr>
          <w:i/>
          <w:iCs/>
          <w:lang w:val="ka"/>
        </w:rPr>
        <w:t xml:space="preserve">ევროპის კავშირის სამართალი</w:t>
      </w:r>
      <w:r>
        <w:rPr>
          <w:lang w:val="ka"/>
        </w:rPr>
        <w:t xml:space="preserve">, ნაწილი I (2022) (რეკომენდებული).</w:t>
      </w:r>
    </w:p>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glossary" TargetMode="External" /></Relationships>
</file>

<file path=word/_rels/footnotes.xml.rels><?xml version="1.0" encoding="UTF-8"?><Relationships xmlns="http://schemas.openxmlformats.org/package/2006/relationships"><Relationship Type="http://schemas.openxmlformats.org/officeDocument/2006/relationships/hyperlink" Id="rId9" Target="/glossa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აქტი, რომელიც არ უნდა გადაწერო</dc:title>
  <dc:creator>გიორგი კობერიძე · ილიას სახელმწიფო უნივერსიტეტი</dc:creator>
  <dc:language>ka</dc:language>
  <cp:keywords/>
  <dcterms:created xsi:type="dcterms:W3CDTF">2026-10-23T14:09:39Z</dcterms:created>
  <dcterms:modified xsi:type="dcterms:W3CDTF">2026-10-23T14:09:39Z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ევროკავშირის სამართალი · კვირა 6 · დარიგება — სამართლის წყაროები და მათი იერარქია</vt:lpwstr>
  </property>
</Properties>
</file>