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ka"/>
        </w:rPr>
        <w:t xml:space="preserve">ვინ დარაჯობს დარაჯებს?</w:t>
      </w:r>
    </w:p>
    <w:p>
      <w:pPr>
        <w:pStyle w:val="Subtitle"/>
      </w:pPr>
      <w:r>
        <w:rPr>
          <w:lang w:val="ka"/>
        </w:rPr>
        <w:t xml:space="preserve">ევროკავშირის სამართალი · კვირა 5 · დარიგება — ევროკავშირის სასამართლო და სხვა ორგანოები</w:t>
      </w:r>
    </w:p>
    <w:p>
      <w:pPr>
        <w:pStyle w:val="Author"/>
      </w:pPr>
      <w:r>
        <w:rPr>
          <w:lang w:val="ka"/>
        </w:rPr>
        <w:t xml:space="preserve">გიორგი კობერიძე · ილიას სახელმწიფო უნივერსიტეტი</w:t>
      </w:r>
    </w:p>
    <w:p>
      <w:pPr>
        <w:pStyle w:val="BlockText"/>
      </w:pPr>
      <w:r>
        <w:rPr>
          <w:lang w:val="ka"/>
        </w:rPr>
        <w:t xml:space="preserve">📘</w:t>
      </w:r>
      <w:r>
        <w:rPr>
          <w:lang w:val="ka"/>
        </w:rPr>
        <w:t xml:space="preserve"> </w:t>
      </w:r>
      <w:r>
        <w:rPr>
          <w:b/>
          <w:bCs/>
          <w:lang w:val="ka"/>
        </w:rPr>
        <w:t xml:space="preserve">როგორ ვიმუშაოთ ამ კვირაში:</w:t>
      </w:r>
      <w:r>
        <w:rPr>
          <w:lang w:val="ka"/>
        </w:rPr>
        <w:t xml:space="preserve"> </w:t>
      </w:r>
      <w:r>
        <w:rPr>
          <w:lang w:val="ka"/>
        </w:rPr>
        <w:t xml:space="preserve">ცხრილები და კითხვა-პასუხი —</w:t>
      </w:r>
      <w:r>
        <w:rPr>
          <w:lang w:val="ka"/>
        </w:rPr>
        <w:t xml:space="preserve"> </w:t>
      </w:r>
      <w:r>
        <w:rPr>
          <w:b/>
          <w:bCs/>
          <w:lang w:val="ka"/>
        </w:rPr>
        <w:t xml:space="preserve">ამ გვერდის თავში</w:t>
      </w:r>
      <w:r>
        <w:rPr>
          <w:lang w:val="ka"/>
        </w:rPr>
        <w:t xml:space="preserve"> </w:t>
      </w:r>
      <w:r>
        <w:rPr>
          <w:lang w:val="ka"/>
        </w:rPr>
        <w:t xml:space="preserve">(„⚖️ შედარება“, „❓ კითხვა-პასუხი“). დარიგება ხსნის,</w:t>
      </w:r>
      <w:r>
        <w:rPr>
          <w:lang w:val="ka"/>
        </w:rPr>
        <w:t xml:space="preserve"> </w:t>
      </w:r>
      <w:r>
        <w:rPr>
          <w:b/>
          <w:bCs/>
          <w:lang w:val="ka"/>
        </w:rPr>
        <w:t xml:space="preserve">რატომ</w:t>
      </w:r>
      <w:r>
        <w:rPr>
          <w:lang w:val="ka"/>
        </w:rPr>
        <w:t xml:space="preserve"> </w:t>
      </w:r>
      <w:r>
        <w:rPr>
          <w:lang w:val="ka"/>
        </w:rPr>
        <w:t xml:space="preserve">არის ასე. ხელშეკრულების ციტატები — კონსოლიდირებული ტექსტიდან (15.03.2025), ჩვენი თარგმანით + ორიგინალი. ტერმინები — გაბრიჩიძე 2023-ის მიხედვით →</w:t>
      </w:r>
      <w:r>
        <w:rPr>
          <w:lang w:val="ka"/>
        </w:rPr>
        <w:t xml:space="preserve"> </w:t>
      </w:r>
      <w:hyperlink r:id="rId9">
        <w:r>
          <w:rPr>
            <w:rStyle w:val="Hyperlink"/>
            <w:lang w:val="ka"/>
          </w:rPr>
          <w:t xml:space="preserve">გლოსარი</w:t>
        </w:r>
      </w:hyperlink>
      <w:r>
        <w:rPr>
          <w:lang w:val="ka"/>
        </w:rPr>
        <w:t xml:space="preserve">.</w:t>
      </w:r>
    </w:p>
    <w:bookmarkStart w:id="10" w:name="Xbc5a1e5778f10f4f6310e9294f74a1c3963eab9"/>
    <w:p>
      <w:pPr>
        <w:pStyle w:val="Heading1"/>
      </w:pPr>
      <w:r>
        <w:rPr>
          <w:lang w:val="ka"/>
        </w:rPr>
        <w:t xml:space="preserve">დასაწყისი: ხელშეკრულება ამბობს „რვა“. სასამართლოში თერთმეტია</w:t>
      </w:r>
    </w:p>
    <w:p>
      <w:pPr>
        <w:pStyle w:val="FirstParagraph"/>
      </w:pPr>
      <w:r>
        <w:rPr>
          <w:lang w:val="ka"/>
        </w:rPr>
        <w:t xml:space="preserve">გახსენით TFEU მუხ. 252:</w:t>
      </w:r>
    </w:p>
    <w:p>
      <w:pPr>
        <w:pStyle w:val="BlockText"/>
      </w:pPr>
      <w:r>
        <w:rPr>
          <w:lang w:val="ka"/>
        </w:rPr>
        <w:t xml:space="preserve">„მართლმსაჯულების სასამართლოს</w:t>
      </w:r>
      <w:r>
        <w:rPr>
          <w:lang w:val="ka"/>
        </w:rPr>
        <w:t xml:space="preserve"> </w:t>
      </w:r>
      <w:r>
        <w:rPr>
          <w:b/>
          <w:bCs/>
          <w:lang w:val="ka"/>
        </w:rPr>
        <w:t xml:space="preserve">რვა</w:t>
      </w:r>
      <w:r>
        <w:rPr>
          <w:lang w:val="ka"/>
        </w:rPr>
        <w:t xml:space="preserve"> </w:t>
      </w:r>
      <w:r>
        <w:rPr>
          <w:lang w:val="ka"/>
        </w:rPr>
        <w:t xml:space="preserve">გენერალური ადვოკატი ეხმარება.“</w:t>
      </w:r>
    </w:p>
    <w:p>
      <w:pPr>
        <w:pStyle w:val="BlockText"/>
      </w:pPr>
      <w:r>
        <w:rPr>
          <w:i/>
          <w:iCs/>
          <w:lang w:val="ka"/>
        </w:rPr>
        <w:t xml:space="preserve">ორიგინალი:</w:t>
      </w:r>
      <w:r>
        <w:rPr>
          <w:lang w:val="ka"/>
        </w:rPr>
        <w:t xml:space="preserve"> </w:t>
      </w:r>
      <w:r>
        <w:rPr>
          <w:lang w:val="ka"/>
        </w:rPr>
        <w:t xml:space="preserve">„The Court of Justice shall be assisted by eight Advocates-General.“</w:t>
      </w:r>
    </w:p>
    <w:p>
      <w:pPr>
        <w:pStyle w:val="BlockText"/>
      </w:pPr>
      <w:r>
        <w:rPr>
          <w:lang w:val="ka"/>
        </w:rPr>
        <w:t xml:space="preserve">—</w:t>
      </w:r>
      <w:r>
        <w:rPr>
          <w:lang w:val="ka"/>
        </w:rPr>
        <w:t xml:space="preserve"> </w:t>
      </w:r>
      <w:r>
        <w:rPr>
          <w:i/>
          <w:iCs/>
          <w:lang w:val="ka"/>
        </w:rPr>
        <w:t xml:space="preserve">TFEU მუხ. 252, კონსოლიდ. 15.03.2025, PDF გვ. 152</w:t>
      </w:r>
    </w:p>
    <w:p>
      <w:pPr>
        <w:pStyle w:val="FirstParagraph"/>
      </w:pPr>
      <w:r>
        <w:rPr>
          <w:lang w:val="ka"/>
        </w:rPr>
        <w:t xml:space="preserve">2026 წელს გენერალური ადვოკატი</w:t>
      </w:r>
      <w:r>
        <w:rPr>
          <w:lang w:val="ka"/>
        </w:rPr>
        <w:t xml:space="preserve"> </w:t>
      </w:r>
      <w:r>
        <w:rPr>
          <w:b/>
          <w:bCs/>
          <w:lang w:val="ka"/>
        </w:rPr>
        <w:t xml:space="preserve">თერთმეტია</w:t>
      </w:r>
      <w:r>
        <w:rPr>
          <w:lang w:val="ka"/>
        </w:rPr>
        <w:t xml:space="preserve">. ამასთან, ხუთ სახელმწიფოს საკუთარი,</w:t>
      </w:r>
      <w:r>
        <w:rPr>
          <w:lang w:val="ka"/>
        </w:rPr>
        <w:t xml:space="preserve"> </w:t>
      </w:r>
      <w:r>
        <w:rPr>
          <w:b/>
          <w:bCs/>
          <w:lang w:val="ka"/>
        </w:rPr>
        <w:t xml:space="preserve">მუდმივი</w:t>
      </w:r>
      <w:r>
        <w:rPr>
          <w:lang w:val="ka"/>
        </w:rPr>
        <w:t xml:space="preserve"> </w:t>
      </w:r>
      <w:r>
        <w:rPr>
          <w:lang w:val="ka"/>
        </w:rPr>
        <w:t xml:space="preserve">ადვოკატი ჰყავს, დანარჩენი 22 კი რიგრიგობით იცვლება.</w:t>
      </w:r>
    </w:p>
    <w:p>
      <w:pPr>
        <w:pStyle w:val="BodyText"/>
      </w:pPr>
      <w:r>
        <w:rPr>
          <w:b/>
          <w:bCs/>
          <w:lang w:val="ka"/>
        </w:rPr>
        <w:t xml:space="preserve">კითხვები ლექციამდე:</w:t>
      </w:r>
      <w:r>
        <w:rPr>
          <w:lang w:val="ka"/>
        </w:rPr>
        <w:t xml:space="preserve"> </w:t>
      </w:r>
      <w:r>
        <w:rPr>
          <w:lang w:val="ka"/>
        </w:rPr>
        <w:t xml:space="preserve">(1) საიდან გაჩნდა სამი დამატებითი? (2) რომელ ხუთ სახელმწიფოს აქვს მუდმივი ადგილი — და</w:t>
      </w:r>
      <w:r>
        <w:rPr>
          <w:lang w:val="ka"/>
        </w:rPr>
        <w:t xml:space="preserve"> </w:t>
      </w:r>
      <w:r>
        <w:rPr>
          <w:b/>
          <w:bCs/>
          <w:lang w:val="ka"/>
        </w:rPr>
        <w:t xml:space="preserve">სად</w:t>
      </w:r>
      <w:r>
        <w:rPr>
          <w:lang w:val="ka"/>
        </w:rPr>
        <w:t xml:space="preserve"> </w:t>
      </w:r>
      <w:r>
        <w:rPr>
          <w:lang w:val="ka"/>
        </w:rPr>
        <w:t xml:space="preserve">წერია ეს?</w:t>
      </w:r>
    </w:p>
    <w:p>
      <w:pPr>
        <w:pStyle w:val="BodyText"/>
      </w:pPr>
      <w:r>
        <w:rPr>
          <w:i/>
          <w:iCs/>
          <w:lang w:val="ka"/>
        </w:rPr>
        <w:t xml:space="preserve">პასუხი — დარიგების ბოლოს (🔓 სპოილერი). ჯერ თავად სცადეთ.</w:t>
      </w:r>
    </w:p>
    <w:p>
      <w:r>
        <w:pict>
          <v:rect style="width:0;height:1.5pt" o:hralign="center" o:hrstd="t" o:hr="t"/>
        </w:pict>
      </w:r>
    </w:p>
    <w:bookmarkEnd w:id="10"/>
    <w:bookmarkStart w:id="11" w:name="ხიდი-წინა-კვირიდან"/>
    <w:p>
      <w:pPr>
        <w:pStyle w:val="Heading1"/>
      </w:pPr>
      <w:r>
        <w:rPr>
          <w:lang w:val="ka"/>
        </w:rPr>
        <w:t xml:space="preserve">ხიდი წინა კვირიდან</w:t>
      </w:r>
    </w:p>
    <w:p>
      <w:pPr>
        <w:pStyle w:val="FirstParagraph"/>
      </w:pPr>
      <w:r>
        <w:rPr>
          <w:lang w:val="ka"/>
        </w:rPr>
        <w:t xml:space="preserve">კვირა 4-ში ოთხი „პოლიტიკური“ ორგანო ვნახეთ: ევროპარლამენტი, ევროპული საბჭო, საბჭო, კომისია. ბოლოს დავსვით კითხვა: თუ ყოველ ორგანოს მხოლოდ</w:t>
      </w:r>
      <w:r>
        <w:rPr>
          <w:lang w:val="ka"/>
        </w:rPr>
        <w:t xml:space="preserve"> </w:t>
      </w:r>
      <w:r>
        <w:rPr>
          <w:b/>
          <w:bCs/>
          <w:lang w:val="ka"/>
        </w:rPr>
        <w:t xml:space="preserve">მინიჭებული</w:t>
      </w:r>
      <w:r>
        <w:rPr>
          <w:lang w:val="ka"/>
        </w:rPr>
        <w:t xml:space="preserve"> </w:t>
      </w:r>
      <w:r>
        <w:rPr>
          <w:lang w:val="ka"/>
        </w:rPr>
        <w:t xml:space="preserve">უფლებამოსილება აქვს (TEU 13(2)),</w:t>
      </w:r>
      <w:r>
        <w:rPr>
          <w:lang w:val="ka"/>
        </w:rPr>
        <w:t xml:space="preserve"> </w:t>
      </w:r>
      <w:r>
        <w:rPr>
          <w:b/>
          <w:bCs/>
          <w:lang w:val="ka"/>
        </w:rPr>
        <w:t xml:space="preserve">ვინ</w:t>
      </w:r>
      <w:r>
        <w:rPr>
          <w:lang w:val="ka"/>
        </w:rPr>
        <w:t xml:space="preserve"> </w:t>
      </w:r>
      <w:r>
        <w:rPr>
          <w:lang w:val="ka"/>
        </w:rPr>
        <w:t xml:space="preserve">ამოწმებს, რომ ის საზღვარს არ გადასცდა? ამ კვირის პასუხი — სამი</w:t>
      </w:r>
      <w:r>
        <w:rPr>
          <w:lang w:val="ka"/>
        </w:rPr>
        <w:t xml:space="preserve"> </w:t>
      </w:r>
      <w:r>
        <w:rPr>
          <w:b/>
          <w:bCs/>
          <w:lang w:val="ka"/>
        </w:rPr>
        <w:t xml:space="preserve">საკონტროლო</w:t>
      </w:r>
      <w:r>
        <w:rPr>
          <w:lang w:val="ka"/>
        </w:rPr>
        <w:t xml:space="preserve"> </w:t>
      </w:r>
      <w:r>
        <w:rPr>
          <w:lang w:val="ka"/>
        </w:rPr>
        <w:t xml:space="preserve">ორგანო: სასამართლო</w:t>
      </w:r>
      <w:r>
        <w:rPr>
          <w:lang w:val="ka"/>
        </w:rPr>
        <w:t xml:space="preserve"> </w:t>
      </w:r>
      <w:r>
        <w:rPr>
          <w:b/>
          <w:bCs/>
          <w:lang w:val="ka"/>
        </w:rPr>
        <w:t xml:space="preserve">სამართალს</w:t>
      </w:r>
      <w:r>
        <w:rPr>
          <w:lang w:val="ka"/>
        </w:rPr>
        <w:t xml:space="preserve"> </w:t>
      </w:r>
      <w:r>
        <w:rPr>
          <w:lang w:val="ka"/>
        </w:rPr>
        <w:t xml:space="preserve">იცავს, ცენტრალური ბანკი —</w:t>
      </w:r>
      <w:r>
        <w:rPr>
          <w:lang w:val="ka"/>
        </w:rPr>
        <w:t xml:space="preserve"> </w:t>
      </w:r>
      <w:r>
        <w:rPr>
          <w:b/>
          <w:bCs/>
          <w:lang w:val="ka"/>
        </w:rPr>
        <w:t xml:space="preserve">ფულს</w:t>
      </w:r>
      <w:r>
        <w:rPr>
          <w:lang w:val="ka"/>
        </w:rPr>
        <w:t xml:space="preserve">, აუდიტორები —</w:t>
      </w:r>
      <w:r>
        <w:rPr>
          <w:lang w:val="ka"/>
        </w:rPr>
        <w:t xml:space="preserve"> </w:t>
      </w:r>
      <w:r>
        <w:rPr>
          <w:b/>
          <w:bCs/>
          <w:lang w:val="ka"/>
        </w:rPr>
        <w:t xml:space="preserve">ბიუჯეტს</w:t>
      </w:r>
      <w:r>
        <w:rPr>
          <w:lang w:val="ka"/>
        </w:rP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ka"/>
              </w:rPr>
              <w:t xml:space="preserve">კითხვა</w:t>
            </w:r>
          </w:p>
        </w:tc>
        <w:tc>
          <w:tcPr/>
          <w:p>
            <w:pPr>
              <w:pStyle w:val="Compact"/>
            </w:pPr>
            <w:r>
              <w:rPr>
                <w:lang w:val="ka"/>
              </w:rPr>
              <w:t xml:space="preserve">მუხლი</w:t>
            </w:r>
          </w:p>
        </w:tc>
        <w:tc>
          <w:tcPr/>
          <w:p>
            <w:pPr>
              <w:pStyle w:val="Compact"/>
            </w:pPr>
            <w:r>
              <w:rPr>
                <w:lang w:val="ka"/>
              </w:rPr>
              <w:t xml:space="preserve">წიგნი</w:t>
            </w:r>
          </w:p>
        </w:tc>
      </w:tr>
      <w:tr>
        <w:tc>
          <w:tcPr/>
          <w:p>
            <w:pPr>
              <w:pStyle w:val="Compact"/>
            </w:pPr>
            <w:r>
              <w:rPr>
                <w:lang w:val="ka"/>
              </w:rPr>
              <w:t xml:space="preserve">ევროკავშირის სასამართლო</w:t>
            </w:r>
          </w:p>
        </w:tc>
        <w:tc>
          <w:tcPr/>
          <w:p>
            <w:pPr>
              <w:pStyle w:val="Compact"/>
            </w:pPr>
            <w:r>
              <w:rPr>
                <w:lang w:val="ka"/>
              </w:rPr>
              <w:t xml:space="preserve">TEU</w:t>
            </w:r>
            <w:r>
              <w:rPr>
                <w:lang w:val="ka"/>
              </w:rPr>
              <w:t xml:space="preserve"> </w:t>
            </w:r>
            <w:r>
              <w:rPr>
                <w:b/>
                <w:bCs/>
                <w:lang w:val="ka"/>
              </w:rPr>
              <w:t xml:space="preserve">19</w:t>
            </w:r>
            <w:r>
              <w:rPr>
                <w:lang w:val="ka"/>
              </w:rPr>
              <w:t xml:space="preserve">; TFEU 251–281; ოქმი №3</w:t>
            </w:r>
          </w:p>
        </w:tc>
        <w:tc>
          <w:tcPr/>
          <w:p>
            <w:pPr>
              <w:pStyle w:val="Compact"/>
            </w:pPr>
            <w:r>
              <w:rPr>
                <w:lang w:val="ka"/>
              </w:rPr>
              <w:t xml:space="preserve">გაბრიჩიძე 2023, გვ. 68–74 (პარ. 214–235)</w:t>
            </w:r>
          </w:p>
        </w:tc>
      </w:tr>
      <w:tr>
        <w:tc>
          <w:tcPr/>
          <w:p>
            <w:pPr>
              <w:pStyle w:val="Compact"/>
            </w:pPr>
            <w:r>
              <w:rPr>
                <w:lang w:val="ka"/>
              </w:rPr>
              <w:t xml:space="preserve">აუდიტორთა სასამართლო</w:t>
            </w:r>
          </w:p>
        </w:tc>
        <w:tc>
          <w:tcPr/>
          <w:p>
            <w:pPr>
              <w:pStyle w:val="Compact"/>
            </w:pPr>
            <w:r>
              <w:rPr>
                <w:lang w:val="ka"/>
              </w:rPr>
              <w:t xml:space="preserve">TFEU</w:t>
            </w:r>
            <w:r>
              <w:rPr>
                <w:lang w:val="ka"/>
              </w:rPr>
              <w:t xml:space="preserve"> </w:t>
            </w:r>
            <w:r>
              <w:rPr>
                <w:b/>
                <w:bCs/>
                <w:lang w:val="ka"/>
              </w:rPr>
              <w:t xml:space="preserve">285–287</w:t>
            </w:r>
          </w:p>
        </w:tc>
        <w:tc>
          <w:tcPr/>
          <w:p>
            <w:pPr>
              <w:pStyle w:val="Compact"/>
            </w:pPr>
            <w:r>
              <w:rPr>
                <w:lang w:val="ka"/>
              </w:rPr>
              <w:t xml:space="preserve">გვ. 74–75 (პარ. 236–238)</w:t>
            </w:r>
          </w:p>
        </w:tc>
      </w:tr>
      <w:tr>
        <w:tc>
          <w:tcPr/>
          <w:p>
            <w:pPr>
              <w:pStyle w:val="Compact"/>
            </w:pPr>
            <w:r>
              <w:rPr>
                <w:lang w:val="ka"/>
              </w:rPr>
              <w:t xml:space="preserve">ევროპის ცენტრალური ბანკი</w:t>
            </w:r>
          </w:p>
        </w:tc>
        <w:tc>
          <w:tcPr/>
          <w:p>
            <w:pPr>
              <w:pStyle w:val="Compact"/>
            </w:pPr>
            <w:r>
              <w:rPr>
                <w:lang w:val="ka"/>
              </w:rPr>
              <w:t xml:space="preserve">TFEU</w:t>
            </w:r>
            <w:r>
              <w:rPr>
                <w:lang w:val="ka"/>
              </w:rPr>
              <w:t xml:space="preserve"> </w:t>
            </w:r>
            <w:r>
              <w:rPr>
                <w:b/>
                <w:bCs/>
                <w:lang w:val="ka"/>
              </w:rPr>
              <w:t xml:space="preserve">282–284</w:t>
            </w:r>
            <w:r>
              <w:rPr>
                <w:lang w:val="ka"/>
              </w:rPr>
              <w:t xml:space="preserve">; 127–128</w:t>
            </w:r>
          </w:p>
        </w:tc>
        <w:tc>
          <w:tcPr/>
          <w:p>
            <w:pPr>
              <w:pStyle w:val="Compact"/>
            </w:pPr>
            <w:r>
              <w:rPr>
                <w:lang w:val="ka"/>
              </w:rPr>
              <w:t xml:space="preserve">გვ. 75–77 (პარ. 239–245)</w:t>
            </w:r>
          </w:p>
        </w:tc>
      </w:tr>
      <w:tr>
        <w:tc>
          <w:tcPr/>
          <w:p>
            <w:pPr>
              <w:pStyle w:val="Compact"/>
            </w:pPr>
            <w:r>
              <w:rPr>
                <w:lang w:val="ka"/>
              </w:rPr>
              <w:t xml:space="preserve">საკონსულტაციო კომიტეტები</w:t>
            </w:r>
          </w:p>
        </w:tc>
        <w:tc>
          <w:tcPr/>
          <w:p>
            <w:pPr>
              <w:pStyle w:val="Compact"/>
            </w:pPr>
            <w:r>
              <w:rPr>
                <w:lang w:val="ka"/>
              </w:rPr>
              <w:t xml:space="preserve">TFEU</w:t>
            </w:r>
            <w:r>
              <w:rPr>
                <w:lang w:val="ka"/>
              </w:rPr>
              <w:t xml:space="preserve"> </w:t>
            </w:r>
            <w:r>
              <w:rPr>
                <w:b/>
                <w:bCs/>
                <w:lang w:val="ka"/>
              </w:rPr>
              <w:t xml:space="preserve">300–307</w:t>
            </w:r>
          </w:p>
        </w:tc>
        <w:tc>
          <w:tcPr/>
          <w:p>
            <w:pPr>
              <w:pStyle w:val="Compact"/>
            </w:pPr>
            <w:r>
              <w:rPr>
                <w:lang w:val="ka"/>
              </w:rPr>
              <w:t xml:space="preserve">გვ. 77–79 (პარ. 246–251)</w:t>
            </w:r>
          </w:p>
        </w:tc>
      </w:tr>
      <w:tr>
        <w:tc>
          <w:tcPr/>
          <w:p>
            <w:pPr>
              <w:pStyle w:val="Compact"/>
            </w:pPr>
            <w:r>
              <w:rPr>
                <w:lang w:val="ka"/>
              </w:rPr>
              <w:t xml:space="preserve">საინვესტიციო ბანკი, სააგენტოები</w:t>
            </w:r>
          </w:p>
        </w:tc>
        <w:tc>
          <w:tcPr/>
          <w:p>
            <w:pPr>
              <w:pStyle w:val="Compact"/>
            </w:pPr>
            <w:r>
              <w:rPr>
                <w:lang w:val="ka"/>
              </w:rPr>
              <w:t xml:space="preserve">TFEU</w:t>
            </w:r>
            <w:r>
              <w:rPr>
                <w:lang w:val="ka"/>
              </w:rPr>
              <w:t xml:space="preserve"> </w:t>
            </w:r>
            <w:r>
              <w:rPr>
                <w:b/>
                <w:bCs/>
                <w:lang w:val="ka"/>
              </w:rPr>
              <w:t xml:space="preserve">308–309</w:t>
            </w:r>
            <w:r>
              <w:rPr>
                <w:lang w:val="ka"/>
              </w:rPr>
              <w:t xml:space="preserve">; 352</w:t>
            </w:r>
          </w:p>
        </w:tc>
        <w:tc>
          <w:tcPr/>
          <w:p>
            <w:pPr>
              <w:pStyle w:val="Compact"/>
            </w:pPr>
            <w:r>
              <w:rPr>
                <w:lang w:val="ka"/>
              </w:rPr>
              <w:t xml:space="preserve">გვ. 79–83 (პარ. 252–259)</w:t>
            </w:r>
          </w:p>
        </w:tc>
      </w:tr>
      <w:tr>
        <w:tc>
          <w:tcPr/>
          <w:p>
            <w:pPr>
              <w:pStyle w:val="Compact"/>
            </w:pPr>
            <w:r>
              <w:rPr>
                <w:lang w:val="ka"/>
              </w:rPr>
              <w:t xml:space="preserve">ინსტიტუციური წონასწორობა</w:t>
            </w:r>
          </w:p>
        </w:tc>
        <w:tc>
          <w:tcPr/>
          <w:p>
            <w:pPr>
              <w:pStyle w:val="Compact"/>
            </w:pPr>
            <w:r>
              <w:rPr>
                <w:lang w:val="ka"/>
              </w:rPr>
              <w:t xml:space="preserve">TEU 13(2)</w:t>
            </w:r>
          </w:p>
        </w:tc>
        <w:tc>
          <w:tcPr/>
          <w:p>
            <w:pPr>
              <w:pStyle w:val="Compact"/>
            </w:pPr>
            <w:r>
              <w:rPr>
                <w:lang w:val="ka"/>
              </w:rPr>
              <w:t xml:space="preserve">გვ. 84–85 (პარ. 260–264)</w:t>
            </w:r>
          </w:p>
        </w:tc>
      </w:tr>
    </w:tbl>
    <w:p>
      <w:r>
        <w:pict>
          <v:rect style="width:0;height:1.5pt" o:hralign="center" o:hrstd="t" o:hr="t"/>
        </w:pict>
      </w:r>
    </w:p>
    <w:bookmarkEnd w:id="11"/>
    <w:bookmarkStart w:id="17" w:name="Xc4c83c2aceb49e3b10af199046f4e3e2918568d"/>
    <w:p>
      <w:pPr>
        <w:pStyle w:val="Heading1"/>
      </w:pPr>
      <w:r>
        <w:rPr>
          <w:lang w:val="ka"/>
        </w:rPr>
        <w:t xml:space="preserve">I. ევროკავშირის სასამართლო: ერთი ორგანო, ორი სასამართლო</w:t>
      </w:r>
    </w:p>
    <w:bookmarkStart w:id="12" w:name="სახელების-ხაფანგი"/>
    <w:p>
      <w:pPr>
        <w:pStyle w:val="Heading2"/>
      </w:pPr>
      <w:r>
        <w:rPr>
          <w:lang w:val="ka"/>
        </w:rPr>
        <w:t xml:space="preserve">1. სახელების ხაფანგი</w:t>
      </w:r>
    </w:p>
    <w:p>
      <w:pPr>
        <w:pStyle w:val="BlockText"/>
      </w:pPr>
      <w:r>
        <w:rPr>
          <w:lang w:val="ka"/>
        </w:rPr>
        <w:t xml:space="preserve">„ევროკავშირის სასამართლო მოიცავს მართლმსაჯულების სასამართლოს, საერთო სასამართლოს და სპეციალიზებულ სასამართლოებს. ის უზრუნველყოფს, რომ ხელშეკრულებების განმარტებისა და გამოყენებისას</w:t>
      </w:r>
      <w:r>
        <w:rPr>
          <w:lang w:val="ka"/>
        </w:rPr>
        <w:t xml:space="preserve"> </w:t>
      </w:r>
      <w:r>
        <w:rPr>
          <w:b/>
          <w:bCs/>
          <w:lang w:val="ka"/>
        </w:rPr>
        <w:t xml:space="preserve">სამართალი იყოს დაცული</w:t>
      </w:r>
      <w:r>
        <w:rPr>
          <w:lang w:val="ka"/>
        </w:rPr>
        <w:t xml:space="preserve">.“</w:t>
      </w:r>
    </w:p>
    <w:p>
      <w:pPr>
        <w:pStyle w:val="BlockText"/>
      </w:pPr>
      <w:r>
        <w:rPr>
          <w:i/>
          <w:iCs/>
          <w:lang w:val="ka"/>
        </w:rPr>
        <w:t xml:space="preserve">ორიგინალი:</w:t>
      </w:r>
      <w:r>
        <w:rPr>
          <w:lang w:val="ka"/>
        </w:rPr>
        <w:t xml:space="preserve"> </w:t>
      </w:r>
      <w:r>
        <w:rPr>
          <w:lang w:val="ka"/>
        </w:rPr>
        <w:t xml:space="preserve">„The Court of Justice of the European Union shall include the Court of Justice, the General Court and specialised courts. It shall ensure that in the interpretation and application of the Treaties the law is observed.“ —</w:t>
      </w:r>
      <w:r>
        <w:rPr>
          <w:lang w:val="ka"/>
        </w:rPr>
        <w:t xml:space="preserve"> </w:t>
      </w:r>
      <w:r>
        <w:rPr>
          <w:i/>
          <w:iCs/>
          <w:lang w:val="ka"/>
        </w:rPr>
        <w:t xml:space="preserve">TEU მუხ. 19(1), PDF გვ. 25</w:t>
      </w:r>
    </w:p>
    <w:p>
      <w:pPr>
        <w:pStyle w:val="FirstParagraph"/>
      </w:pPr>
      <w:r>
        <w:rPr>
          <w:lang w:val="ka"/>
        </w:rPr>
        <w:t xml:space="preserve">„ევროკავშირის სასამართლო“</w:t>
      </w:r>
      <w:r>
        <w:rPr>
          <w:lang w:val="ka"/>
        </w:rPr>
        <w:t xml:space="preserve"> </w:t>
      </w:r>
      <w:r>
        <w:rPr>
          <w:b/>
          <w:bCs/>
          <w:lang w:val="ka"/>
        </w:rPr>
        <w:t xml:space="preserve">ორგანოს</w:t>
      </w:r>
      <w:r>
        <w:rPr>
          <w:lang w:val="ka"/>
        </w:rPr>
        <w:t xml:space="preserve"> </w:t>
      </w:r>
      <w:r>
        <w:rPr>
          <w:lang w:val="ka"/>
        </w:rPr>
        <w:t xml:space="preserve">სახელია, „მართლმსაჯულების სასამართლო“ — მისი ერთ-ერთი სასამართლოსი.</w:t>
      </w:r>
      <w:r>
        <w:rPr>
          <w:lang w:val="ka"/>
        </w:rPr>
        <w:t xml:space="preserve"> </w:t>
      </w:r>
      <w:r>
        <w:rPr>
          <w:i/>
          <w:iCs/>
          <w:lang w:val="ka"/>
        </w:rPr>
        <w:t xml:space="preserve">General Court</w:t>
      </w:r>
      <w:r>
        <w:rPr>
          <w:lang w:val="ka"/>
        </w:rPr>
        <w:t xml:space="preserve"> </w:t>
      </w:r>
      <w:r>
        <w:rPr>
          <w:lang w:val="ka"/>
        </w:rPr>
        <w:t xml:space="preserve">— გაბრიჩიძის ტერმინით „</w:t>
      </w:r>
      <w:r>
        <w:rPr>
          <w:b/>
          <w:bCs/>
          <w:lang w:val="ka"/>
        </w:rPr>
        <w:t xml:space="preserve">საერთო</w:t>
      </w:r>
      <w:r>
        <w:rPr>
          <w:lang w:val="ka"/>
        </w:rPr>
        <w:t xml:space="preserve"> </w:t>
      </w:r>
      <w:r>
        <w:rPr>
          <w:lang w:val="ka"/>
        </w:rPr>
        <w:t xml:space="preserve">სასამართლო“ (2023, გვ. 70; ⚠️ ეროვნულ „საერთო სასამართლოებში“ არ აგერიოთ); ლისაბონამდე მას „</w:t>
      </w:r>
      <w:r>
        <w:rPr>
          <w:b/>
          <w:bCs/>
          <w:lang w:val="ka"/>
        </w:rPr>
        <w:t xml:space="preserve">პირველი ინსტანციის</w:t>
      </w:r>
      <w:r>
        <w:rPr>
          <w:lang w:val="ka"/>
        </w:rPr>
        <w:t xml:space="preserve"> </w:t>
      </w:r>
      <w:r>
        <w:rPr>
          <w:lang w:val="ka"/>
        </w:rPr>
        <w:t xml:space="preserve">სასამართლო“ ერქვა (საბჭოს გადაწყვ. 88/591, 24.10.1988). სპეციალიზებული სასამართლო ერთადერთი იყო —</w:t>
      </w:r>
      <w:r>
        <w:rPr>
          <w:lang w:val="ka"/>
        </w:rPr>
        <w:t xml:space="preserve"> </w:t>
      </w:r>
      <w:r>
        <w:rPr>
          <w:b/>
          <w:bCs/>
          <w:lang w:val="ka"/>
        </w:rPr>
        <w:t xml:space="preserve">საჯარო სამსახურის სასამართლო</w:t>
      </w:r>
      <w:r>
        <w:rPr>
          <w:lang w:val="ka"/>
        </w:rPr>
        <w:t xml:space="preserve"> </w:t>
      </w:r>
      <w:r>
        <w:rPr>
          <w:lang w:val="ka"/>
        </w:rPr>
        <w:t xml:space="preserve">(2004/752) — და ის 2016 წელს</w:t>
      </w:r>
      <w:r>
        <w:rPr>
          <w:lang w:val="ka"/>
        </w:rPr>
        <w:t xml:space="preserve"> </w:t>
      </w:r>
      <w:r>
        <w:rPr>
          <w:b/>
          <w:bCs/>
          <w:lang w:val="ka"/>
        </w:rPr>
        <w:t xml:space="preserve">გაუქმდა</w:t>
      </w:r>
      <w:r>
        <w:rPr>
          <w:lang w:val="ka"/>
        </w:rPr>
        <w:t xml:space="preserve"> </w:t>
      </w:r>
      <w:r>
        <w:rPr>
          <w:lang w:val="ka"/>
        </w:rPr>
        <w:t xml:space="preserve">(რეგ. 2016/1192). 📊 → ცხრილი 2.</w:t>
      </w:r>
    </w:p>
    <w:bookmarkEnd w:id="12"/>
    <w:bookmarkStart w:id="13" w:name="ვინ-ზის"/>
    <w:p>
      <w:pPr>
        <w:pStyle w:val="Heading2"/>
      </w:pPr>
      <w:r>
        <w:rPr>
          <w:lang w:val="ka"/>
        </w:rPr>
        <w:t xml:space="preserve">2. ვინ ზის</w:t>
      </w:r>
    </w:p>
    <w:p>
      <w:pPr>
        <w:pStyle w:val="FirstParagraph"/>
      </w:pPr>
      <w:r>
        <w:rPr>
          <w:lang w:val="ka"/>
        </w:rPr>
        <w:t xml:space="preserve">მართლმსაჯულების სასამართლოში —</w:t>
      </w:r>
      <w:r>
        <w:rPr>
          <w:lang w:val="ka"/>
        </w:rPr>
        <w:t xml:space="preserve"> </w:t>
      </w:r>
      <w:r>
        <w:rPr>
          <w:b/>
          <w:bCs/>
          <w:lang w:val="ka"/>
        </w:rPr>
        <w:t xml:space="preserve">თითო მოსამართლე</w:t>
      </w:r>
      <w:r>
        <w:rPr>
          <w:lang w:val="ka"/>
        </w:rPr>
        <w:t xml:space="preserve"> </w:t>
      </w:r>
      <w:r>
        <w:rPr>
          <w:lang w:val="ka"/>
        </w:rPr>
        <w:t xml:space="preserve">ყოველი სახელმწიფოდან (27); საერთოში — ხელშეკრულებით „</w:t>
      </w:r>
      <w:r>
        <w:rPr>
          <w:b/>
          <w:bCs/>
          <w:lang w:val="ka"/>
        </w:rPr>
        <w:t xml:space="preserve">მინიმუმ ერთი</w:t>
      </w:r>
      <w:r>
        <w:rPr>
          <w:lang w:val="ka"/>
        </w:rPr>
        <w:t xml:space="preserve">“, სტატუტით —</w:t>
      </w:r>
      <w:r>
        <w:rPr>
          <w:lang w:val="ka"/>
        </w:rPr>
        <w:t xml:space="preserve"> </w:t>
      </w:r>
      <w:r>
        <w:rPr>
          <w:b/>
          <w:bCs/>
          <w:lang w:val="ka"/>
        </w:rPr>
        <w:t xml:space="preserve">ორი</w:t>
      </w:r>
      <w:r>
        <w:rPr>
          <w:lang w:val="ka"/>
        </w:rPr>
        <w:t xml:space="preserve"> </w:t>
      </w:r>
      <w:r>
        <w:rPr>
          <w:lang w:val="ka"/>
        </w:rPr>
        <w:t xml:space="preserve">(54)</w:t>
      </w:r>
      <w:r>
        <w:rPr>
          <w:lang w:val="ka"/>
        </w:rPr>
        <w:t xml:space="preserve"> </w:t>
      </w:r>
      <w:r>
        <w:rPr>
          <w:i/>
          <w:iCs/>
          <w:lang w:val="ka"/>
        </w:rPr>
        <w:t xml:space="preserve">(TEU 19(2); ოქმი №3, მუხ. 48)</w:t>
      </w:r>
      <w:r>
        <w:rPr>
          <w:lang w:val="ka"/>
        </w:rPr>
        <w:t xml:space="preserve">. ყველა ინიშნება</w:t>
      </w:r>
      <w:r>
        <w:rPr>
          <w:lang w:val="ka"/>
        </w:rPr>
        <w:t xml:space="preserve"> </w:t>
      </w:r>
      <w:r>
        <w:rPr>
          <w:b/>
          <w:bCs/>
          <w:lang w:val="ka"/>
        </w:rPr>
        <w:t xml:space="preserve">6 წლით</w:t>
      </w:r>
      <w:r>
        <w:rPr>
          <w:lang w:val="ka"/>
        </w:rPr>
        <w:t xml:space="preserve">, მთავრობების „</w:t>
      </w:r>
      <w:r>
        <w:rPr>
          <w:b/>
          <w:bCs/>
          <w:lang w:val="ka"/>
        </w:rPr>
        <w:t xml:space="preserve">საერთო თანხმობით</w:t>
      </w:r>
      <w:r>
        <w:rPr>
          <w:lang w:val="ka"/>
        </w:rPr>
        <w:t xml:space="preserve">“ (</w:t>
      </w:r>
      <w:r>
        <w:rPr>
          <w:i/>
          <w:iCs/>
          <w:lang w:val="ka"/>
        </w:rPr>
        <w:t xml:space="preserve">common accord</w:t>
      </w:r>
      <w:r>
        <w:rPr>
          <w:lang w:val="ka"/>
        </w:rPr>
        <w:t xml:space="preserve">), მას შემდეგ რაც 7-წევრიანი</w:t>
      </w:r>
      <w:r>
        <w:rPr>
          <w:lang w:val="ka"/>
        </w:rPr>
        <w:t xml:space="preserve"> </w:t>
      </w:r>
      <w:r>
        <w:rPr>
          <w:b/>
          <w:bCs/>
          <w:lang w:val="ka"/>
        </w:rPr>
        <w:t xml:space="preserve">255-ე მუხლის კომიტეტი</w:t>
      </w:r>
      <w:r>
        <w:rPr>
          <w:lang w:val="ka"/>
        </w:rPr>
        <w:t xml:space="preserve"> </w:t>
      </w:r>
      <w:r>
        <w:rPr>
          <w:lang w:val="ka"/>
        </w:rPr>
        <w:t xml:space="preserve">კანდიდატის შესაბამისობაზე აზრს გამოთქვამს. კანდიდატი უნდა იყოს პირი, „რომლის დამოუკიდებლობაც ეჭვს არ იწვევს“</w:t>
      </w:r>
      <w:r>
        <w:rPr>
          <w:lang w:val="ka"/>
        </w:rPr>
        <w:t xml:space="preserve"> </w:t>
      </w:r>
      <w:r>
        <w:rPr>
          <w:i/>
          <w:iCs/>
          <w:lang w:val="ka"/>
        </w:rPr>
        <w:t xml:space="preserve">(TFEU 253–255, PDF გვ. 153–154)</w:t>
      </w:r>
      <w:r>
        <w:rPr>
          <w:lang w:val="ka"/>
        </w:rPr>
        <w:t xml:space="preserve">.</w:t>
      </w:r>
    </w:p>
    <w:p>
      <w:pPr>
        <w:pStyle w:val="BodyText"/>
      </w:pPr>
      <w:r>
        <w:rPr>
          <w:b/>
          <w:bCs/>
          <w:lang w:val="ka"/>
        </w:rPr>
        <w:t xml:space="preserve">გენერალური ადვოკატი</w:t>
      </w:r>
      <w:r>
        <w:rPr>
          <w:lang w:val="ka"/>
        </w:rPr>
        <w:t xml:space="preserve"> </w:t>
      </w:r>
      <w:r>
        <w:rPr>
          <w:lang w:val="ka"/>
        </w:rPr>
        <w:t xml:space="preserve">არც მხარის ადვოკატია, არც პროკურორი:</w:t>
      </w:r>
    </w:p>
    <w:p>
      <w:pPr>
        <w:pStyle w:val="BlockText"/>
      </w:pPr>
      <w:r>
        <w:rPr>
          <w:lang w:val="ka"/>
        </w:rPr>
        <w:t xml:space="preserve">„გენერალური ადვოკატის მოვალეობაა,</w:t>
      </w:r>
      <w:r>
        <w:rPr>
          <w:lang w:val="ka"/>
        </w:rPr>
        <w:t xml:space="preserve"> </w:t>
      </w:r>
      <w:r>
        <w:rPr>
          <w:b/>
          <w:bCs/>
          <w:lang w:val="ka"/>
        </w:rPr>
        <w:t xml:space="preserve">სრული მიუკერძოებლობითა და დამოუკიდებლობით</w:t>
      </w:r>
      <w:r>
        <w:rPr>
          <w:lang w:val="ka"/>
        </w:rPr>
        <w:t xml:space="preserve">, ღია სხდომაზე წარადგინოს</w:t>
      </w:r>
      <w:r>
        <w:rPr>
          <w:lang w:val="ka"/>
        </w:rPr>
        <w:t xml:space="preserve"> </w:t>
      </w:r>
      <w:r>
        <w:rPr>
          <w:b/>
          <w:bCs/>
          <w:lang w:val="ka"/>
        </w:rPr>
        <w:t xml:space="preserve">დასაბუთებული დასკვნები</w:t>
      </w:r>
      <w:r>
        <w:rPr>
          <w:lang w:val="ka"/>
        </w:rPr>
        <w:t xml:space="preserve"> </w:t>
      </w:r>
      <w:r>
        <w:rPr>
          <w:lang w:val="ka"/>
        </w:rPr>
        <w:t xml:space="preserve">იმ საქმეებზე, რომლებიც […] მის მონაწილეობას საჭიროებს.“</w:t>
      </w:r>
    </w:p>
    <w:p>
      <w:pPr>
        <w:pStyle w:val="BlockText"/>
      </w:pPr>
      <w:r>
        <w:rPr>
          <w:i/>
          <w:iCs/>
          <w:lang w:val="ka"/>
        </w:rPr>
        <w:t xml:space="preserve">ორიგინალი:</w:t>
      </w:r>
      <w:r>
        <w:rPr>
          <w:lang w:val="ka"/>
        </w:rPr>
        <w:t xml:space="preserve"> </w:t>
      </w:r>
      <w:r>
        <w:rPr>
          <w:lang w:val="ka"/>
        </w:rPr>
        <w:t xml:space="preserve">„It shall be the duty of the Advocate-General, acting with complete impartiality and independence, to make, in open court, reasoned submissions on cases which, in accordance with the Statute of the Court of Justice of the European Union, require his involvement.“ —</w:t>
      </w:r>
      <w:r>
        <w:rPr>
          <w:lang w:val="ka"/>
        </w:rPr>
        <w:t xml:space="preserve"> </w:t>
      </w:r>
      <w:r>
        <w:rPr>
          <w:i/>
          <w:iCs/>
          <w:lang w:val="ka"/>
        </w:rPr>
        <w:t xml:space="preserve">TFEU მუხ. 252, PDF გვ. 152</w:t>
      </w:r>
    </w:p>
    <w:p>
      <w:pPr>
        <w:pStyle w:val="FirstParagraph"/>
      </w:pPr>
      <w:r>
        <w:rPr>
          <w:lang w:val="ka"/>
        </w:rPr>
        <w:t xml:space="preserve">დასკვნა სასამართლოს</w:t>
      </w:r>
      <w:r>
        <w:rPr>
          <w:lang w:val="ka"/>
        </w:rPr>
        <w:t xml:space="preserve"> </w:t>
      </w:r>
      <w:r>
        <w:rPr>
          <w:b/>
          <w:bCs/>
          <w:lang w:val="ka"/>
        </w:rPr>
        <w:t xml:space="preserve">არ ბოჭავს</w:t>
      </w:r>
      <w:r>
        <w:rPr>
          <w:lang w:val="ka"/>
        </w:rPr>
        <w:t xml:space="preserve">. გაბრიჩიძე: სასამართლო „როგორც წესი“ იზიარებს მას</w:t>
      </w:r>
      <w:r>
        <w:rPr>
          <w:lang w:val="ka"/>
        </w:rPr>
        <w:t xml:space="preserve"> </w:t>
      </w:r>
      <w:r>
        <w:rPr>
          <w:i/>
          <w:iCs/>
          <w:lang w:val="ka"/>
        </w:rPr>
        <w:t xml:space="preserve">(პარ. 219)</w:t>
      </w:r>
      <w:r>
        <w:rPr>
          <w:lang w:val="ka"/>
        </w:rPr>
        <w:t xml:space="preserve"> </w:t>
      </w:r>
      <w:r>
        <w:rPr>
          <w:lang w:val="ka"/>
        </w:rPr>
        <w:t xml:space="preserve">— ეს ავტორის დაკვირვებაა, არა სამართლებრივი წესი. 📊 → ცხრილი 3.</w:t>
      </w:r>
    </w:p>
    <w:bookmarkEnd w:id="13"/>
    <w:bookmarkStart w:id="14" w:name="როგორ-მუშაობს"/>
    <w:p>
      <w:pPr>
        <w:pStyle w:val="Heading2"/>
      </w:pPr>
      <w:r>
        <w:rPr>
          <w:lang w:val="ka"/>
        </w:rPr>
        <w:t xml:space="preserve">3. როგორ მუშაობს</w:t>
      </w:r>
    </w:p>
    <w:p>
      <w:pPr>
        <w:pStyle w:val="FirstParagraph"/>
      </w:pPr>
      <w:r>
        <w:rPr>
          <w:lang w:val="ka"/>
        </w:rPr>
        <w:t xml:space="preserve">მართლმსაჯულების სასამართლო სხდება</w:t>
      </w:r>
      <w:r>
        <w:rPr>
          <w:lang w:val="ka"/>
        </w:rPr>
        <w:t xml:space="preserve"> </w:t>
      </w:r>
      <w:r>
        <w:rPr>
          <w:b/>
          <w:bCs/>
          <w:lang w:val="ka"/>
        </w:rPr>
        <w:t xml:space="preserve">3 ან 5</w:t>
      </w:r>
      <w:r>
        <w:rPr>
          <w:lang w:val="ka"/>
        </w:rPr>
        <w:t xml:space="preserve"> </w:t>
      </w:r>
      <w:r>
        <w:rPr>
          <w:lang w:val="ka"/>
        </w:rPr>
        <w:t xml:space="preserve">მოსამართლის</w:t>
      </w:r>
      <w:r>
        <w:rPr>
          <w:lang w:val="ka"/>
        </w:rPr>
        <w:t xml:space="preserve"> </w:t>
      </w:r>
      <w:r>
        <w:rPr>
          <w:b/>
          <w:bCs/>
          <w:lang w:val="ka"/>
        </w:rPr>
        <w:t xml:space="preserve">პალატებში</w:t>
      </w:r>
      <w:r>
        <w:rPr>
          <w:lang w:val="ka"/>
        </w:rPr>
        <w:t xml:space="preserve">,</w:t>
      </w:r>
      <w:r>
        <w:rPr>
          <w:lang w:val="ka"/>
        </w:rPr>
        <w:t xml:space="preserve"> </w:t>
      </w:r>
      <w:r>
        <w:rPr>
          <w:b/>
          <w:bCs/>
          <w:lang w:val="ka"/>
        </w:rPr>
        <w:t xml:space="preserve">დიდ პალატაში</w:t>
      </w:r>
      <w:r>
        <w:rPr>
          <w:lang w:val="ka"/>
        </w:rPr>
        <w:t xml:space="preserve"> </w:t>
      </w:r>
      <w:r>
        <w:rPr>
          <w:lang w:val="ka"/>
        </w:rPr>
        <w:t xml:space="preserve">(15) ან — გამონაკლისად —</w:t>
      </w:r>
      <w:r>
        <w:rPr>
          <w:lang w:val="ka"/>
        </w:rPr>
        <w:t xml:space="preserve"> </w:t>
      </w:r>
      <w:r>
        <w:rPr>
          <w:b/>
          <w:bCs/>
          <w:lang w:val="ka"/>
        </w:rPr>
        <w:t xml:space="preserve">სრული შემადგენლობით</w:t>
      </w:r>
      <w:r>
        <w:rPr>
          <w:lang w:val="ka"/>
        </w:rPr>
        <w:t xml:space="preserve"> </w:t>
      </w:r>
      <w:r>
        <w:rPr>
          <w:i/>
          <w:iCs/>
          <w:lang w:val="ka"/>
        </w:rPr>
        <w:t xml:space="preserve">(TFEU 251; სტატუტი, მუხ. 16, PDF გვ. 206)</w:t>
      </w:r>
      <w:r>
        <w:rPr>
          <w:lang w:val="ka"/>
        </w:rPr>
        <w:t xml:space="preserve">. დიდი პალატა სავალდებულოა, თუ ამას საქმის მხარე</w:t>
      </w:r>
      <w:r>
        <w:rPr>
          <w:lang w:val="ka"/>
        </w:rPr>
        <w:t xml:space="preserve"> </w:t>
      </w:r>
      <w:r>
        <w:rPr>
          <w:b/>
          <w:bCs/>
          <w:lang w:val="ka"/>
        </w:rPr>
        <w:t xml:space="preserve">სახელმწიფო ან ორგანო</w:t>
      </w:r>
      <w:r>
        <w:rPr>
          <w:lang w:val="ka"/>
        </w:rPr>
        <w:t xml:space="preserve"> </w:t>
      </w:r>
      <w:r>
        <w:rPr>
          <w:lang w:val="ka"/>
        </w:rPr>
        <w:t xml:space="preserve">მოითხოვს. სრული შემადგენლობა — მაგ., ევროპული ომბუდსმენის ან კომისრის თანამდებობიდან გათავისუფლებისას (TFEU 228(2), 245(2), 247) ან „განსაკუთრებული მნიშვნელობის“ საქმეზე.</w:t>
      </w:r>
    </w:p>
    <w:p>
      <w:pPr>
        <w:pStyle w:val="BodyText"/>
      </w:pPr>
      <w:r>
        <w:rPr>
          <w:b/>
          <w:bCs/>
          <w:lang w:val="ka"/>
        </w:rPr>
        <w:t xml:space="preserve">სტატუტი</w:t>
      </w:r>
      <w:r>
        <w:rPr>
          <w:lang w:val="ka"/>
        </w:rPr>
        <w:t xml:space="preserve"> </w:t>
      </w:r>
      <w:r>
        <w:rPr>
          <w:lang w:val="ka"/>
        </w:rPr>
        <w:t xml:space="preserve">(ოქმი №3) ხელშეკრულების ნაწილია, მაგრამ მისი უმეტესობა</w:t>
      </w:r>
      <w:r>
        <w:rPr>
          <w:lang w:val="ka"/>
        </w:rPr>
        <w:t xml:space="preserve"> </w:t>
      </w:r>
      <w:r>
        <w:rPr>
          <w:b/>
          <w:bCs/>
          <w:lang w:val="ka"/>
        </w:rPr>
        <w:t xml:space="preserve">ორდინარული საკანონმდებლო პროცედურით</w:t>
      </w:r>
      <w:r>
        <w:rPr>
          <w:lang w:val="ka"/>
        </w:rPr>
        <w:t xml:space="preserve"> </w:t>
      </w:r>
      <w:r>
        <w:rPr>
          <w:lang w:val="ka"/>
        </w:rPr>
        <w:t xml:space="preserve">იცვლება (TFEU 281) — ხელშეკრულების გადასინჯვის გარეშე. სწორედ ასე მოხდა ორი დიდი რეფორმა:</w:t>
      </w:r>
    </w:p>
    <w:p>
      <w:pPr>
        <w:pStyle w:val="Compact"/>
        <w:numPr>
          <w:ilvl w:val="0"/>
          <w:numId w:val="1001"/>
        </w:numPr>
      </w:pPr>
      <w:r>
        <w:rPr>
          <w:b/>
          <w:bCs/>
          <w:lang w:val="ka"/>
        </w:rPr>
        <w:t xml:space="preserve">2015</w:t>
      </w:r>
      <w:r>
        <w:rPr>
          <w:lang w:val="ka"/>
        </w:rPr>
        <w:t xml:space="preserve"> </w:t>
      </w:r>
      <w:r>
        <w:rPr>
          <w:lang w:val="ka"/>
        </w:rPr>
        <w:t xml:space="preserve">(რეგ. 2015/2422): საერთო სასამართლოში მოსამართლეები გაორმაგდა — 2019-იდან ორი სახელმწიფოზე;</w:t>
      </w:r>
    </w:p>
    <w:p>
      <w:pPr>
        <w:pStyle w:val="Compact"/>
        <w:numPr>
          <w:ilvl w:val="0"/>
          <w:numId w:val="1001"/>
        </w:numPr>
      </w:pPr>
      <w:r>
        <w:rPr>
          <w:b/>
          <w:bCs/>
          <w:lang w:val="ka"/>
        </w:rPr>
        <w:t xml:space="preserve">2024</w:t>
      </w:r>
      <w:r>
        <w:rPr>
          <w:lang w:val="ka"/>
        </w:rPr>
        <w:t xml:space="preserve"> </w:t>
      </w:r>
      <w:r>
        <w:rPr>
          <w:lang w:val="ka"/>
        </w:rPr>
        <w:t xml:space="preserve">(რეგ. 2024/2019): საერთო სასამართლოს</w:t>
      </w:r>
      <w:r>
        <w:rPr>
          <w:lang w:val="ka"/>
        </w:rPr>
        <w:t xml:space="preserve"> </w:t>
      </w:r>
      <w:r>
        <w:rPr>
          <w:b/>
          <w:bCs/>
          <w:lang w:val="ka"/>
        </w:rPr>
        <w:t xml:space="preserve">წინასწარი გადაწყვეტილებები</w:t>
      </w:r>
      <w:r>
        <w:rPr>
          <w:lang w:val="ka"/>
        </w:rPr>
        <w:t xml:space="preserve"> </w:t>
      </w:r>
      <w:r>
        <w:rPr>
          <w:lang w:val="ka"/>
        </w:rPr>
        <w:t xml:space="preserve">გადაეცა — მხოლოდ</w:t>
      </w:r>
      <w:r>
        <w:rPr>
          <w:lang w:val="ka"/>
        </w:rPr>
        <w:t xml:space="preserve"> </w:t>
      </w:r>
      <w:r>
        <w:rPr>
          <w:b/>
          <w:bCs/>
          <w:lang w:val="ka"/>
        </w:rPr>
        <w:t xml:space="preserve">ექვს</w:t>
      </w:r>
      <w:r>
        <w:rPr>
          <w:lang w:val="ka"/>
        </w:rPr>
        <w:t xml:space="preserve"> </w:t>
      </w:r>
      <w:r>
        <w:rPr>
          <w:lang w:val="ka"/>
        </w:rPr>
        <w:t xml:space="preserve">ტექნიკურ სფეროში (დღგ, აქციზი, საბაჟო კოდექსი, სასაქონლო ნომენკლატურა, მგზავრთა კომპენსაცია, ემისიებით ვაჭრობა)</w:t>
      </w:r>
      <w:r>
        <w:rPr>
          <w:lang w:val="ka"/>
        </w:rPr>
        <w:t xml:space="preserve"> </w:t>
      </w:r>
      <w:r>
        <w:rPr>
          <w:i/>
          <w:iCs/>
          <w:lang w:val="ka"/>
        </w:rPr>
        <w:t xml:space="preserve">(სტატუტი, მუხ. 50b, PDF გვ. 215–216)</w:t>
      </w:r>
      <w:r>
        <w:rPr>
          <w:lang w:val="ka"/>
        </w:rPr>
        <w:t xml:space="preserve">.</w:t>
      </w:r>
    </w:p>
    <w:p>
      <w:pPr>
        <w:pStyle w:val="BlockText"/>
      </w:pPr>
      <w:r>
        <w:rPr>
          <w:lang w:val="ka"/>
        </w:rPr>
        <w:t xml:space="preserve">⚠️</w:t>
      </w:r>
      <w:r>
        <w:rPr>
          <w:lang w:val="ka"/>
        </w:rPr>
        <w:t xml:space="preserve"> </w:t>
      </w:r>
      <w:r>
        <w:rPr>
          <w:b/>
          <w:bCs/>
          <w:lang w:val="ka"/>
        </w:rPr>
        <w:t xml:space="preserve">წიგნი მოძველდა:</w:t>
      </w:r>
      <w:r>
        <w:rPr>
          <w:lang w:val="ka"/>
        </w:rPr>
        <w:t xml:space="preserve"> </w:t>
      </w:r>
      <w:r>
        <w:rPr>
          <w:lang w:val="ka"/>
        </w:rPr>
        <w:t xml:space="preserve">გაბრიჩიძე 2023 (სქოლ. 77) წერს, რომ წინასწარი გადაწყვეტილებების გადაცემა „პრაქტიკაში ჯერ არ განხორციელებულა“. 2024 წლიდან განხორციელდა. ეს</w:t>
      </w:r>
      <w:r>
        <w:rPr>
          <w:lang w:val="ka"/>
        </w:rPr>
        <w:t xml:space="preserve"> </w:t>
      </w:r>
      <w:r>
        <w:rPr>
          <w:b/>
          <w:bCs/>
          <w:lang w:val="ka"/>
        </w:rPr>
        <w:t xml:space="preserve">შეცდომა არ არის</w:t>
      </w:r>
      <w:r>
        <w:rPr>
          <w:lang w:val="ka"/>
        </w:rPr>
        <w:t xml:space="preserve"> </w:t>
      </w:r>
      <w:r>
        <w:rPr>
          <w:lang w:val="ka"/>
        </w:rPr>
        <w:t xml:space="preserve">— წიგნი რეფორმამდე დაიწერა.</w:t>
      </w:r>
      <w:r>
        <w:rPr>
          <w:lang w:val="ka"/>
        </w:rPr>
        <w:t xml:space="preserve"> </w:t>
      </w:r>
      <w:r>
        <w:rPr>
          <w:b/>
          <w:bCs/>
          <w:lang w:val="ka"/>
        </w:rPr>
        <w:t xml:space="preserve">გაკვეთილი:</w:t>
      </w:r>
      <w:r>
        <w:rPr>
          <w:lang w:val="ka"/>
        </w:rPr>
        <w:t xml:space="preserve"> </w:t>
      </w:r>
      <w:r>
        <w:rPr>
          <w:lang w:val="ka"/>
        </w:rPr>
        <w:t xml:space="preserve">სახელმძღვანელოს თარიღი = ფაქტის „ვარგისიანობის ვადა“.</w:t>
      </w:r>
    </w:p>
    <w:bookmarkEnd w:id="14"/>
    <w:bookmarkStart w:id="15" w:name="რას-განიხილავს"/>
    <w:p>
      <w:pPr>
        <w:pStyle w:val="Heading2"/>
      </w:pPr>
      <w:r>
        <w:rPr>
          <w:lang w:val="ka"/>
        </w:rPr>
        <w:t xml:space="preserve">4. რას განიხილავს</w:t>
      </w:r>
    </w:p>
    <w:p>
      <w:pPr>
        <w:pStyle w:val="FirstParagraph"/>
      </w:pPr>
      <w:r>
        <w:rPr>
          <w:lang w:val="ka"/>
        </w:rPr>
        <w:t xml:space="preserve">TEU 19(3) სამ ჯგუფს ასახელებს: (ა)</w:t>
      </w:r>
      <w:r>
        <w:rPr>
          <w:lang w:val="ka"/>
        </w:rPr>
        <w:t xml:space="preserve"> </w:t>
      </w:r>
      <w:r>
        <w:rPr>
          <w:b/>
          <w:bCs/>
          <w:lang w:val="ka"/>
        </w:rPr>
        <w:t xml:space="preserve">სარჩელები</w:t>
      </w:r>
      <w:r>
        <w:rPr>
          <w:lang w:val="ka"/>
        </w:rPr>
        <w:t xml:space="preserve"> </w:t>
      </w:r>
      <w:r>
        <w:rPr>
          <w:lang w:val="ka"/>
        </w:rPr>
        <w:t xml:space="preserve">— სახელმწიფოს, ორგანოს ან კერძო პირის; (ბ)</w:t>
      </w:r>
      <w:r>
        <w:rPr>
          <w:lang w:val="ka"/>
        </w:rPr>
        <w:t xml:space="preserve"> </w:t>
      </w:r>
      <w:r>
        <w:rPr>
          <w:b/>
          <w:bCs/>
          <w:lang w:val="ka"/>
        </w:rPr>
        <w:t xml:space="preserve">წინასწარი გადაწყვეტილებები</w:t>
      </w:r>
      <w:r>
        <w:rPr>
          <w:lang w:val="ka"/>
        </w:rPr>
        <w:t xml:space="preserve"> </w:t>
      </w:r>
      <w:r>
        <w:rPr>
          <w:lang w:val="ka"/>
        </w:rPr>
        <w:t xml:space="preserve">ეროვნული სასამართლოს მიმართვით; (გ) „სხვა შემთხვევები“ (მაგ., დასკვნა საერთაშორისო შეთანხმებაზე — TFEU 218(11)). გაბრიჩიძე ამას ასე ალაგებს:</w:t>
      </w:r>
      <w:r>
        <w:rPr>
          <w:lang w:val="ka"/>
        </w:rPr>
        <w:t xml:space="preserve"> </w:t>
      </w:r>
      <w:r>
        <w:rPr>
          <w:b/>
          <w:bCs/>
          <w:lang w:val="ka"/>
        </w:rPr>
        <w:t xml:space="preserve">საკონსტიტუციო</w:t>
      </w:r>
      <w:r>
        <w:rPr>
          <w:lang w:val="ka"/>
        </w:rPr>
        <w:t xml:space="preserve"> </w:t>
      </w:r>
      <w:r>
        <w:rPr>
          <w:lang w:val="ka"/>
        </w:rPr>
        <w:t xml:space="preserve">მართლმსაჯულება (სახელმწიფო ↔ ორგანო),</w:t>
      </w:r>
      <w:r>
        <w:rPr>
          <w:lang w:val="ka"/>
        </w:rPr>
        <w:t xml:space="preserve"> </w:t>
      </w:r>
      <w:r>
        <w:rPr>
          <w:b/>
          <w:bCs/>
          <w:lang w:val="ka"/>
        </w:rPr>
        <w:t xml:space="preserve">ადმინისტრაციული</w:t>
      </w:r>
      <w:r>
        <w:rPr>
          <w:lang w:val="ka"/>
        </w:rPr>
        <w:t xml:space="preserve"> </w:t>
      </w:r>
      <w:r>
        <w:rPr>
          <w:lang w:val="ka"/>
        </w:rPr>
        <w:t xml:space="preserve">(ორგანო ↔ კერძო პირი) და</w:t>
      </w:r>
      <w:r>
        <w:rPr>
          <w:lang w:val="ka"/>
        </w:rPr>
        <w:t xml:space="preserve"> </w:t>
      </w:r>
      <w:r>
        <w:rPr>
          <w:b/>
          <w:bCs/>
          <w:lang w:val="ka"/>
        </w:rPr>
        <w:t xml:space="preserve">ევროპული</w:t>
      </w:r>
      <w:r>
        <w:rPr>
          <w:lang w:val="ka"/>
        </w:rPr>
        <w:t xml:space="preserve"> </w:t>
      </w:r>
      <w:r>
        <w:rPr>
          <w:lang w:val="ka"/>
        </w:rPr>
        <w:t xml:space="preserve">— წინასწარი გადაწყვეტილება</w:t>
      </w:r>
      <w:r>
        <w:rPr>
          <w:lang w:val="ka"/>
        </w:rPr>
        <w:t xml:space="preserve"> </w:t>
      </w:r>
      <w:r>
        <w:rPr>
          <w:i/>
          <w:iCs/>
          <w:lang w:val="ka"/>
        </w:rPr>
        <w:t xml:space="preserve">(2023, გვ. 72, პარ. 230–231)</w:t>
      </w:r>
      <w:r>
        <w:rPr>
          <w:lang w:val="ka"/>
        </w:rPr>
        <w:t xml:space="preserve">.</w:t>
      </w:r>
    </w:p>
    <w:p>
      <w:pPr>
        <w:pStyle w:val="BodyText"/>
      </w:pPr>
      <w:r>
        <w:rPr>
          <w:b/>
          <w:bCs/>
          <w:lang w:val="ka"/>
        </w:rPr>
        <w:t xml:space="preserve">ვინ რას?</w:t>
      </w:r>
      <w:r>
        <w:rPr>
          <w:lang w:val="ka"/>
        </w:rPr>
        <w:t xml:space="preserve"> </w:t>
      </w:r>
      <w:r>
        <w:rPr>
          <w:lang w:val="ka"/>
        </w:rPr>
        <w:t xml:space="preserve">წესი:</w:t>
      </w:r>
      <w:r>
        <w:rPr>
          <w:lang w:val="ka"/>
        </w:rPr>
        <w:t xml:space="preserve"> </w:t>
      </w:r>
      <w:r>
        <w:rPr>
          <w:b/>
          <w:bCs/>
          <w:lang w:val="ka"/>
        </w:rPr>
        <w:t xml:space="preserve">საერთო</w:t>
      </w:r>
      <w:r>
        <w:rPr>
          <w:lang w:val="ka"/>
        </w:rPr>
        <w:t xml:space="preserve"> </w:t>
      </w:r>
      <w:r>
        <w:rPr>
          <w:lang w:val="ka"/>
        </w:rPr>
        <w:t xml:space="preserve">სასამართლო — პირველი ინსტანცია (TFEU 256(1)); გამონაკლისები — სტატუტის 51-ე მუხლში. დაიმახსოვრეთ ლოგიკა:</w:t>
      </w:r>
      <w:r>
        <w:rPr>
          <w:lang w:val="ka"/>
        </w:rPr>
        <w:t xml:space="preserve"> </w:t>
      </w:r>
      <w:r>
        <w:rPr>
          <w:b/>
          <w:bCs/>
          <w:lang w:val="ka"/>
        </w:rPr>
        <w:t xml:space="preserve">სახელმწიფოს ან ორგანოს</w:t>
      </w:r>
      <w:r>
        <w:rPr>
          <w:lang w:val="ka"/>
        </w:rPr>
        <w:t xml:space="preserve"> </w:t>
      </w:r>
      <w:r>
        <w:rPr>
          <w:lang w:val="ka"/>
        </w:rPr>
        <w:t xml:space="preserve">მნიშვნელოვანი დავა → მართლმსაჯულების სასამართლო;</w:t>
      </w:r>
      <w:r>
        <w:rPr>
          <w:lang w:val="ka"/>
        </w:rPr>
        <w:t xml:space="preserve"> </w:t>
      </w:r>
      <w:r>
        <w:rPr>
          <w:b/>
          <w:bCs/>
          <w:lang w:val="ka"/>
        </w:rPr>
        <w:t xml:space="preserve">კერძო პირის</w:t>
      </w:r>
      <w:r>
        <w:rPr>
          <w:lang w:val="ka"/>
        </w:rPr>
        <w:t xml:space="preserve"> </w:t>
      </w:r>
      <w:r>
        <w:rPr>
          <w:lang w:val="ka"/>
        </w:rPr>
        <w:t xml:space="preserve">სარჩელი → საერთო, საჩივარი — მართლმსაჯულების სასამართლოში „</w:t>
      </w:r>
      <w:r>
        <w:rPr>
          <w:b/>
          <w:bCs/>
          <w:lang w:val="ka"/>
        </w:rPr>
        <w:t xml:space="preserve">მხოლოდ სამართლის საკითხებზე</w:t>
      </w:r>
      <w:r>
        <w:rPr>
          <w:lang w:val="ka"/>
        </w:rPr>
        <w:t xml:space="preserve">“. 📊 → ცხრილი 4. თითოეულ სარჩელს დეტალურად —</w:t>
      </w:r>
      <w:r>
        <w:rPr>
          <w:lang w:val="ka"/>
        </w:rPr>
        <w:t xml:space="preserve"> </w:t>
      </w:r>
      <w:r>
        <w:rPr>
          <w:b/>
          <w:bCs/>
          <w:lang w:val="ka"/>
        </w:rPr>
        <w:t xml:space="preserve">კვირა 8</w:t>
      </w:r>
      <w:r>
        <w:rPr>
          <w:lang w:val="ka"/>
        </w:rPr>
        <w:t xml:space="preserve">.</w:t>
      </w:r>
    </w:p>
    <w:bookmarkEnd w:id="15"/>
    <w:bookmarkStart w:id="16" w:name="სად-ვერ-შედის"/>
    <w:p>
      <w:pPr>
        <w:pStyle w:val="Heading2"/>
      </w:pPr>
      <w:r>
        <w:rPr>
          <w:lang w:val="ka"/>
        </w:rPr>
        <w:t xml:space="preserve">5. სად ვერ შედის</w:t>
      </w:r>
    </w:p>
    <w:p>
      <w:pPr>
        <w:pStyle w:val="FirstParagraph"/>
      </w:pPr>
      <w:r>
        <w:rPr>
          <w:lang w:val="ka"/>
        </w:rPr>
        <w:t xml:space="preserve">სასამართლოს კომპეტენციაც</w:t>
      </w:r>
      <w:r>
        <w:rPr>
          <w:lang w:val="ka"/>
        </w:rPr>
        <w:t xml:space="preserve"> </w:t>
      </w:r>
      <w:r>
        <w:rPr>
          <w:b/>
          <w:bCs/>
          <w:lang w:val="ka"/>
        </w:rPr>
        <w:t xml:space="preserve">მინიჭებულია</w:t>
      </w:r>
      <w:r>
        <w:rPr>
          <w:lang w:val="ka"/>
        </w:rPr>
        <w:t xml:space="preserve">. სამი „დახურული კარი“</w:t>
      </w:r>
      <w:r>
        <w:rPr>
          <w:lang w:val="ka"/>
        </w:rPr>
        <w:t xml:space="preserve"> </w:t>
      </w:r>
      <w:r>
        <w:rPr>
          <w:i/>
          <w:iCs/>
          <w:lang w:val="ka"/>
        </w:rPr>
        <w:t xml:space="preserve">(📊 → ცხრილი 5)</w:t>
      </w:r>
      <w:r>
        <w:rPr>
          <w:lang w:val="ka"/>
        </w:rPr>
        <w:t xml:space="preserve">:</w:t>
      </w:r>
    </w:p>
    <w:p>
      <w:pPr>
        <w:pStyle w:val="Compact"/>
        <w:numPr>
          <w:ilvl w:val="0"/>
          <w:numId w:val="1002"/>
        </w:numPr>
      </w:pPr>
      <w:r>
        <w:rPr>
          <w:b/>
          <w:bCs/>
          <w:lang w:val="ka"/>
        </w:rPr>
        <w:t xml:space="preserve">CFSP</w:t>
      </w:r>
      <w:r>
        <w:rPr>
          <w:lang w:val="ka"/>
        </w:rPr>
        <w:t xml:space="preserve"> </w:t>
      </w:r>
      <w:r>
        <w:rPr>
          <w:lang w:val="ka"/>
        </w:rPr>
        <w:t xml:space="preserve">— საგარეო და უსაფრთხოების პოლიტიკა (TEU 24(1); TFEU 275). გამონაკლისი: TEU 40-ის დაცვა და</w:t>
      </w:r>
      <w:r>
        <w:rPr>
          <w:lang w:val="ka"/>
        </w:rPr>
        <w:t xml:space="preserve"> </w:t>
      </w:r>
      <w:r>
        <w:rPr>
          <w:b/>
          <w:bCs/>
          <w:lang w:val="ka"/>
        </w:rPr>
        <w:t xml:space="preserve">სანქციები კერძო პირების</w:t>
      </w:r>
      <w:r>
        <w:rPr>
          <w:lang w:val="ka"/>
        </w:rPr>
        <w:t xml:space="preserve"> </w:t>
      </w:r>
      <w:r>
        <w:rPr>
          <w:lang w:val="ka"/>
        </w:rPr>
        <w:t xml:space="preserve">წინააღმდეგ.</w:t>
      </w:r>
    </w:p>
    <w:p>
      <w:pPr>
        <w:pStyle w:val="Compact"/>
        <w:numPr>
          <w:ilvl w:val="0"/>
          <w:numId w:val="1002"/>
        </w:numPr>
      </w:pPr>
      <w:r>
        <w:rPr>
          <w:b/>
          <w:bCs/>
          <w:lang w:val="ka"/>
        </w:rPr>
        <w:t xml:space="preserve">პოლიცია და შიდა უსაფრთხოება</w:t>
      </w:r>
      <w:r>
        <w:rPr>
          <w:lang w:val="ka"/>
        </w:rPr>
        <w:t xml:space="preserve"> </w:t>
      </w:r>
      <w:r>
        <w:rPr>
          <w:lang w:val="ka"/>
        </w:rPr>
        <w:t xml:space="preserve">— ოპერაციების „კანონიერება და თანაზომიერება“ (TFEU 276).</w:t>
      </w:r>
    </w:p>
    <w:p>
      <w:pPr>
        <w:pStyle w:val="Compact"/>
        <w:numPr>
          <w:ilvl w:val="0"/>
          <w:numId w:val="1002"/>
        </w:numPr>
      </w:pPr>
      <w:r>
        <w:rPr>
          <w:b/>
          <w:bCs/>
          <w:lang w:val="ka"/>
        </w:rPr>
        <w:t xml:space="preserve">TEU 7</w:t>
      </w:r>
      <w:r>
        <w:rPr>
          <w:lang w:val="ka"/>
        </w:rPr>
        <w:t xml:space="preserve"> </w:t>
      </w:r>
      <w:r>
        <w:rPr>
          <w:lang w:val="ka"/>
        </w:rPr>
        <w:t xml:space="preserve">— მხოლოდ</w:t>
      </w:r>
      <w:r>
        <w:rPr>
          <w:lang w:val="ka"/>
        </w:rPr>
        <w:t xml:space="preserve"> </w:t>
      </w:r>
      <w:r>
        <w:rPr>
          <w:b/>
          <w:bCs/>
          <w:lang w:val="ka"/>
        </w:rPr>
        <w:t xml:space="preserve">პროცედურა</w:t>
      </w:r>
      <w:r>
        <w:rPr>
          <w:lang w:val="ka"/>
        </w:rPr>
        <w:t xml:space="preserve">, არა შეფასება (TFEU 269; კვირა 3).</w:t>
      </w:r>
    </w:p>
    <w:p>
      <w:r>
        <w:pict>
          <v:rect style="width:0;height:1.5pt" o:hralign="center" o:hrstd="t" o:hr="t"/>
        </w:pict>
      </w:r>
    </w:p>
    <w:bookmarkEnd w:id="16"/>
    <w:bookmarkEnd w:id="17"/>
    <w:bookmarkStart w:id="18" w:name="Xdb4577aa59b65bba6f5d62f19c53b4118d8e99e"/>
    <w:p>
      <w:pPr>
        <w:pStyle w:val="Heading1"/>
      </w:pPr>
      <w:r>
        <w:rPr>
          <w:lang w:val="ka"/>
        </w:rPr>
        <w:t xml:space="preserve">II. ევროპის ცენტრალური ბანკი: ორგანო, რომელიც „ორგანოებისგანაც“ დამოუკიდებელია</w:t>
      </w:r>
    </w:p>
    <w:p>
      <w:pPr>
        <w:pStyle w:val="BlockText"/>
      </w:pPr>
      <w:r>
        <w:rPr>
          <w:lang w:val="ka"/>
        </w:rPr>
        <w:t xml:space="preserve">„ევროპის ცენტრალურ ბანკს აქვს</w:t>
      </w:r>
      <w:r>
        <w:rPr>
          <w:lang w:val="ka"/>
        </w:rPr>
        <w:t xml:space="preserve"> </w:t>
      </w:r>
      <w:r>
        <w:rPr>
          <w:b/>
          <w:bCs/>
          <w:lang w:val="ka"/>
        </w:rPr>
        <w:t xml:space="preserve">სამართალსუბიექტობა</w:t>
      </w:r>
      <w:r>
        <w:rPr>
          <w:lang w:val="ka"/>
        </w:rPr>
        <w:t xml:space="preserve">. მხოლოდ მას შეუძლია ევროს ემისიის ნებართვის გაცემა. ის</w:t>
      </w:r>
      <w:r>
        <w:rPr>
          <w:lang w:val="ka"/>
        </w:rPr>
        <w:t xml:space="preserve"> </w:t>
      </w:r>
      <w:r>
        <w:rPr>
          <w:b/>
          <w:bCs/>
          <w:lang w:val="ka"/>
        </w:rPr>
        <w:t xml:space="preserve">დამოუკიდებელია</w:t>
      </w:r>
      <w:r>
        <w:rPr>
          <w:lang w:val="ka"/>
        </w:rPr>
        <w:t xml:space="preserve"> </w:t>
      </w:r>
      <w:r>
        <w:rPr>
          <w:lang w:val="ka"/>
        </w:rPr>
        <w:t xml:space="preserve">უფლებამოსილების განხორციელებასა და ფინანსების მართვაში. ევროკავშირის ორგანოები, დაწესებულებები […] და წევრი სახელმწიფოების მთავრობები ამ დამოუკიდებლობას პატივს სცემენ.“</w:t>
      </w:r>
    </w:p>
    <w:p>
      <w:pPr>
        <w:pStyle w:val="BlockText"/>
      </w:pPr>
      <w:r>
        <w:rPr>
          <w:i/>
          <w:iCs/>
          <w:lang w:val="ka"/>
        </w:rPr>
        <w:t xml:space="preserve">ორიგინალი:</w:t>
      </w:r>
      <w:r>
        <w:rPr>
          <w:lang w:val="ka"/>
        </w:rPr>
        <w:t xml:space="preserve"> </w:t>
      </w:r>
      <w:r>
        <w:rPr>
          <w:lang w:val="ka"/>
        </w:rPr>
        <w:t xml:space="preserve">„The European Central Bank shall have legal personality. It alone may authorise the issue of the euro. It shall be independent in the exercise of its powers and in the management of its finances. Union institutions, bodies, offices and agencies and the governments of the Member States shall respect that independence.“ —</w:t>
      </w:r>
      <w:r>
        <w:rPr>
          <w:lang w:val="ka"/>
        </w:rPr>
        <w:t xml:space="preserve"> </w:t>
      </w:r>
      <w:r>
        <w:rPr>
          <w:i/>
          <w:iCs/>
          <w:lang w:val="ka"/>
        </w:rPr>
        <w:t xml:space="preserve">TFEU მუხ. 282(3), PDF გვ. 162</w:t>
      </w:r>
    </w:p>
    <w:p>
      <w:pPr>
        <w:pStyle w:val="FirstParagraph"/>
      </w:pPr>
      <w:r>
        <w:rPr>
          <w:lang w:val="ka"/>
        </w:rPr>
        <w:t xml:space="preserve">სამი რამ, რაც ECB-ს სხვა ორგანოებისგან გამოარჩევს:</w:t>
      </w:r>
    </w:p>
    <w:p>
      <w:pPr>
        <w:pStyle w:val="Compact"/>
        <w:numPr>
          <w:ilvl w:val="0"/>
          <w:numId w:val="1003"/>
        </w:numPr>
      </w:pPr>
      <w:r>
        <w:rPr>
          <w:b/>
          <w:bCs/>
          <w:lang w:val="ka"/>
        </w:rPr>
        <w:t xml:space="preserve">საკუთარი სამართალსუბიექტობა</w:t>
      </w:r>
      <w:r>
        <w:rPr>
          <w:lang w:val="ka"/>
        </w:rPr>
        <w:t xml:space="preserve"> </w:t>
      </w:r>
      <w:r>
        <w:rPr>
          <w:lang w:val="ka"/>
        </w:rPr>
        <w:t xml:space="preserve">— სხვა ორგანოები ევროკავშირის სახელით მოქმედებენ (TEU 47), ECB — საკუთარი სახელით</w:t>
      </w:r>
      <w:r>
        <w:rPr>
          <w:lang w:val="ka"/>
        </w:rPr>
        <w:t xml:space="preserve"> </w:t>
      </w:r>
      <w:r>
        <w:rPr>
          <w:i/>
          <w:iCs/>
          <w:lang w:val="ka"/>
        </w:rPr>
        <w:t xml:space="preserve">(გაბრიჩიძე, პარ. 241)</w:t>
      </w:r>
      <w:r>
        <w:rPr>
          <w:lang w:val="ka"/>
        </w:rPr>
        <w:t xml:space="preserve">.</w:t>
      </w:r>
    </w:p>
    <w:p>
      <w:pPr>
        <w:pStyle w:val="Compact"/>
        <w:numPr>
          <w:ilvl w:val="0"/>
          <w:numId w:val="1003"/>
        </w:numPr>
      </w:pPr>
      <w:r>
        <w:rPr>
          <w:b/>
          <w:bCs/>
          <w:lang w:val="ka"/>
        </w:rPr>
        <w:t xml:space="preserve">ერთი მიზანი პირველ ადგილზე</w:t>
      </w:r>
      <w:r>
        <w:rPr>
          <w:lang w:val="ka"/>
        </w:rPr>
        <w:t xml:space="preserve"> </w:t>
      </w:r>
      <w:r>
        <w:rPr>
          <w:lang w:val="ka"/>
        </w:rPr>
        <w:t xml:space="preserve">— „to maintain</w:t>
      </w:r>
      <w:r>
        <w:rPr>
          <w:lang w:val="ka"/>
        </w:rPr>
        <w:t xml:space="preserve"> </w:t>
      </w:r>
      <w:r>
        <w:rPr>
          <w:b/>
          <w:bCs/>
          <w:lang w:val="ka"/>
        </w:rPr>
        <w:t xml:space="preserve">price stability</w:t>
      </w:r>
      <w:r>
        <w:rPr>
          <w:lang w:val="ka"/>
        </w:rPr>
        <w:t xml:space="preserve">“ (TFEU 127(1), 282(2)).</w:t>
      </w:r>
    </w:p>
    <w:p>
      <w:pPr>
        <w:pStyle w:val="Compact"/>
        <w:numPr>
          <w:ilvl w:val="0"/>
          <w:numId w:val="1003"/>
        </w:numPr>
      </w:pPr>
      <w:r>
        <w:rPr>
          <w:b/>
          <w:bCs/>
          <w:lang w:val="ka"/>
        </w:rPr>
        <w:t xml:space="preserve">ევროზონა ≠ ევროკავშირი.</w:t>
      </w:r>
      <w:r>
        <w:rPr>
          <w:lang w:val="ka"/>
        </w:rPr>
        <w:t xml:space="preserve"> </w:t>
      </w:r>
      <w:r>
        <w:rPr>
          <w:lang w:val="ka"/>
        </w:rPr>
        <w:t xml:space="preserve">მონეტარულ პოლიტიკას ატარებს</w:t>
      </w:r>
      <w:r>
        <w:rPr>
          <w:lang w:val="ka"/>
        </w:rPr>
        <w:t xml:space="preserve"> </w:t>
      </w:r>
      <w:r>
        <w:rPr>
          <w:b/>
          <w:bCs/>
          <w:lang w:val="ka"/>
        </w:rPr>
        <w:t xml:space="preserve">ევროსისტემა</w:t>
      </w:r>
      <w:r>
        <w:rPr>
          <w:lang w:val="ka"/>
        </w:rPr>
        <w:t xml:space="preserve"> </w:t>
      </w:r>
      <w:r>
        <w:rPr>
          <w:lang w:val="ka"/>
        </w:rPr>
        <w:t xml:space="preserve">— ECB + მხოლოდ იმ სახელმწიფოების ბანკები, რომელთა ვალუტაც ევროა (TFEU 282(1)). მმართველ საბჭოში სხედან აღმასრულებელი საბჭოს 6 წევრი და</w:t>
      </w:r>
      <w:r>
        <w:rPr>
          <w:lang w:val="ka"/>
        </w:rPr>
        <w:t xml:space="preserve"> </w:t>
      </w:r>
      <w:r>
        <w:rPr>
          <w:b/>
          <w:bCs/>
          <w:lang w:val="ka"/>
        </w:rPr>
        <w:t xml:space="preserve">ევროზონის</w:t>
      </w:r>
      <w:r>
        <w:rPr>
          <w:lang w:val="ka"/>
        </w:rPr>
        <w:t xml:space="preserve"> </w:t>
      </w:r>
      <w:r>
        <w:rPr>
          <w:lang w:val="ka"/>
        </w:rPr>
        <w:t xml:space="preserve">მმართველები (283(1)). 2026-ში ასეთი სახელმწიფო</w:t>
      </w:r>
      <w:r>
        <w:rPr>
          <w:lang w:val="ka"/>
        </w:rPr>
        <w:t xml:space="preserve"> </w:t>
      </w:r>
      <w:r>
        <w:rPr>
          <w:b/>
          <w:bCs/>
          <w:lang w:val="ka"/>
        </w:rPr>
        <w:t xml:space="preserve">21</w:t>
      </w:r>
      <w:r>
        <w:rPr>
          <w:lang w:val="ka"/>
        </w:rPr>
        <w:t xml:space="preserve">-ია — ბულგარეთი 1.1.2026-იდან</w:t>
      </w:r>
      <w:r>
        <w:rPr>
          <w:lang w:val="ka"/>
        </w:rPr>
        <w:t xml:space="preserve"> </w:t>
      </w:r>
      <w:r>
        <w:rPr>
          <w:i/>
          <w:iCs/>
          <w:lang w:val="ka"/>
        </w:rPr>
        <w:t xml:space="preserve">(საბჭოს გადაწყვ. (EU) 2025/1407, მუხ. 1)</w:t>
      </w:r>
      <w:r>
        <w:rPr>
          <w:lang w:val="ka"/>
        </w:rPr>
        <w:t xml:space="preserve">; წიგნი (სქოლ. 78) ჯერ კიდევ „20“-ს წერს (2023 წლის მდგომარეობა).</w:t>
      </w:r>
    </w:p>
    <w:p>
      <w:pPr>
        <w:pStyle w:val="FirstParagraph"/>
      </w:pPr>
      <w:r>
        <w:rPr>
          <w:lang w:val="ka"/>
        </w:rPr>
        <w:t xml:space="preserve">აღმასრულებელ საბჭოს</w:t>
      </w:r>
      <w:r>
        <w:rPr>
          <w:lang w:val="ka"/>
        </w:rPr>
        <w:t xml:space="preserve"> </w:t>
      </w:r>
      <w:r>
        <w:rPr>
          <w:b/>
          <w:bCs/>
          <w:lang w:val="ka"/>
        </w:rPr>
        <w:t xml:space="preserve">ევროპული საბჭო</w:t>
      </w:r>
      <w:r>
        <w:rPr>
          <w:lang w:val="ka"/>
        </w:rPr>
        <w:t xml:space="preserve"> </w:t>
      </w:r>
      <w:r>
        <w:rPr>
          <w:lang w:val="ka"/>
        </w:rPr>
        <w:t xml:space="preserve">ნიშნავს (QMV),</w:t>
      </w:r>
      <w:r>
        <w:rPr>
          <w:lang w:val="ka"/>
        </w:rPr>
        <w:t xml:space="preserve"> </w:t>
      </w:r>
      <w:r>
        <w:rPr>
          <w:b/>
          <w:bCs/>
          <w:lang w:val="ka"/>
        </w:rPr>
        <w:t xml:space="preserve">8 წლით</w:t>
      </w:r>
      <w:r>
        <w:rPr>
          <w:lang w:val="ka"/>
        </w:rPr>
        <w:t xml:space="preserve"> </w:t>
      </w:r>
      <w:r>
        <w:rPr>
          <w:lang w:val="ka"/>
        </w:rPr>
        <w:t xml:space="preserve">და</w:t>
      </w:r>
      <w:r>
        <w:rPr>
          <w:lang w:val="ka"/>
        </w:rPr>
        <w:t xml:space="preserve"> </w:t>
      </w:r>
      <w:r>
        <w:rPr>
          <w:b/>
          <w:bCs/>
          <w:lang w:val="ka"/>
        </w:rPr>
        <w:t xml:space="preserve">ხელახლა დანიშვნის გარეშე</w:t>
      </w:r>
      <w:r>
        <w:rPr>
          <w:lang w:val="ka"/>
        </w:rPr>
        <w:t xml:space="preserve"> </w:t>
      </w:r>
      <w:r>
        <w:rPr>
          <w:lang w:val="ka"/>
        </w:rPr>
        <w:t xml:space="preserve">(283(2)). 📊 → ცხრილები 6–7.</w:t>
      </w:r>
    </w:p>
    <w:p>
      <w:r>
        <w:pict>
          <v:rect style="width:0;height:1.5pt" o:hralign="center" o:hrstd="t" o:hr="t"/>
        </w:pict>
      </w:r>
    </w:p>
    <w:bookmarkEnd w:id="18"/>
    <w:bookmarkStart w:id="19" w:name="X6d39d3b3adf89e167bf64a5c4522dc22f347ce9"/>
    <w:p>
      <w:pPr>
        <w:pStyle w:val="Heading1"/>
      </w:pPr>
      <w:r>
        <w:rPr>
          <w:lang w:val="ka"/>
        </w:rPr>
        <w:t xml:space="preserve">III. აუდიტორთა სასამართლო: „სასამართლო“, რომელიც არავის ასამართლებს</w:t>
      </w:r>
    </w:p>
    <w:p>
      <w:pPr>
        <w:pStyle w:val="BlockText"/>
      </w:pPr>
      <w:r>
        <w:rPr>
          <w:lang w:val="ka"/>
        </w:rPr>
        <w:t xml:space="preserve">„აუდიტორთა სასამართლო ახორციელებს</w:t>
      </w:r>
      <w:r>
        <w:rPr>
          <w:lang w:val="ka"/>
        </w:rPr>
        <w:t xml:space="preserve"> </w:t>
      </w:r>
      <w:r>
        <w:rPr>
          <w:b/>
          <w:bCs/>
          <w:lang w:val="ka"/>
        </w:rPr>
        <w:t xml:space="preserve">ევროკავშირის აუდიტს</w:t>
      </w:r>
      <w:r>
        <w:rPr>
          <w:lang w:val="ka"/>
        </w:rPr>
        <w:t xml:space="preserve">. ის შედგება თითოეული წევრი სახელმწიფოს</w:t>
      </w:r>
      <w:r>
        <w:rPr>
          <w:lang w:val="ka"/>
        </w:rPr>
        <w:t xml:space="preserve"> </w:t>
      </w:r>
      <w:r>
        <w:rPr>
          <w:b/>
          <w:bCs/>
          <w:lang w:val="ka"/>
        </w:rPr>
        <w:t xml:space="preserve">ერთი მოქალაქისგან</w:t>
      </w:r>
      <w:r>
        <w:rPr>
          <w:lang w:val="ka"/>
        </w:rPr>
        <w:t xml:space="preserve">. მისი წევრები სრულიად დამოუკიდებელნი არიან […] ევროკავშირის ზოგადი ინტერესებიდან გამომდინარე.“</w:t>
      </w:r>
    </w:p>
    <w:p>
      <w:pPr>
        <w:pStyle w:val="BlockText"/>
      </w:pPr>
      <w:r>
        <w:rPr>
          <w:i/>
          <w:iCs/>
          <w:lang w:val="ka"/>
        </w:rPr>
        <w:t xml:space="preserve">ორიგინალი:</w:t>
      </w:r>
      <w:r>
        <w:rPr>
          <w:lang w:val="ka"/>
        </w:rPr>
        <w:t xml:space="preserve"> </w:t>
      </w:r>
      <w:r>
        <w:rPr>
          <w:lang w:val="ka"/>
        </w:rPr>
        <w:t xml:space="preserve">„The Court of Auditors shall carry out the Union's audit. It shall consist of one national of each Member State. Its Members shall be completely independent in the performance of their duties, in the Union's general interest.“ —</w:t>
      </w:r>
      <w:r>
        <w:rPr>
          <w:lang w:val="ka"/>
        </w:rPr>
        <w:t xml:space="preserve"> </w:t>
      </w:r>
      <w:r>
        <w:rPr>
          <w:i/>
          <w:iCs/>
          <w:lang w:val="ka"/>
        </w:rPr>
        <w:t xml:space="preserve">TFEU მუხ. 285, PDF გვ. 164</w:t>
      </w:r>
    </w:p>
    <w:p>
      <w:pPr>
        <w:pStyle w:val="FirstParagraph"/>
      </w:pPr>
      <w:r>
        <w:rPr>
          <w:lang w:val="ka"/>
        </w:rPr>
        <w:t xml:space="preserve">შეიქმნა</w:t>
      </w:r>
      <w:r>
        <w:rPr>
          <w:lang w:val="ka"/>
        </w:rPr>
        <w:t xml:space="preserve"> </w:t>
      </w:r>
      <w:r>
        <w:rPr>
          <w:b/>
          <w:bCs/>
          <w:lang w:val="ka"/>
        </w:rPr>
        <w:t xml:space="preserve">1977</w:t>
      </w:r>
      <w:r>
        <w:rPr>
          <w:lang w:val="ka"/>
        </w:rPr>
        <w:t xml:space="preserve">-ში, ორგანოა</w:t>
      </w:r>
      <w:r>
        <w:rPr>
          <w:lang w:val="ka"/>
        </w:rPr>
        <w:t xml:space="preserve"> </w:t>
      </w:r>
      <w:r>
        <w:rPr>
          <w:b/>
          <w:bCs/>
          <w:lang w:val="ka"/>
        </w:rPr>
        <w:t xml:space="preserve">1993</w:t>
      </w:r>
      <w:r>
        <w:rPr>
          <w:lang w:val="ka"/>
        </w:rPr>
        <w:t xml:space="preserve">-დან</w:t>
      </w:r>
      <w:r>
        <w:rPr>
          <w:lang w:val="ka"/>
        </w:rPr>
        <w:t xml:space="preserve"> </w:t>
      </w:r>
      <w:r>
        <w:rPr>
          <w:i/>
          <w:iCs/>
          <w:lang w:val="ka"/>
        </w:rPr>
        <w:t xml:space="preserve">(გაბრიჩიძე, პარ. 236)</w:t>
      </w:r>
      <w:r>
        <w:rPr>
          <w:lang w:val="ka"/>
        </w:rPr>
        <w:t xml:space="preserve">. წევრებს</w:t>
      </w:r>
      <w:r>
        <w:rPr>
          <w:lang w:val="ka"/>
        </w:rPr>
        <w:t xml:space="preserve"> </w:t>
      </w:r>
      <w:r>
        <w:rPr>
          <w:b/>
          <w:bCs/>
          <w:lang w:val="ka"/>
        </w:rPr>
        <w:t xml:space="preserve">საბჭო</w:t>
      </w:r>
      <w:r>
        <w:rPr>
          <w:lang w:val="ka"/>
        </w:rPr>
        <w:t xml:space="preserve"> </w:t>
      </w:r>
      <w:r>
        <w:rPr>
          <w:lang w:val="ka"/>
        </w:rPr>
        <w:t xml:space="preserve">ნიშნავს</w:t>
      </w:r>
      <w:r>
        <w:rPr>
          <w:lang w:val="ka"/>
        </w:rPr>
        <w:t xml:space="preserve"> </w:t>
      </w:r>
      <w:r>
        <w:rPr>
          <w:b/>
          <w:bCs/>
          <w:lang w:val="ka"/>
        </w:rPr>
        <w:t xml:space="preserve">6 წლით</w:t>
      </w:r>
      <w:r>
        <w:rPr>
          <w:lang w:val="ka"/>
        </w:rPr>
        <w:t xml:space="preserve">, ევროპარლამენტთან კონსულტაციის შემდეგ (286(2)). ამოწმებს შემოსავლისა და ხარჯის</w:t>
      </w:r>
      <w:r>
        <w:rPr>
          <w:lang w:val="ka"/>
        </w:rPr>
        <w:t xml:space="preserve"> </w:t>
      </w:r>
      <w:r>
        <w:rPr>
          <w:b/>
          <w:bCs/>
          <w:lang w:val="ka"/>
        </w:rPr>
        <w:t xml:space="preserve">კანონიერებას</w:t>
      </w:r>
      <w:r>
        <w:rPr>
          <w:lang w:val="ka"/>
        </w:rPr>
        <w:t xml:space="preserve">,</w:t>
      </w:r>
      <w:r>
        <w:rPr>
          <w:lang w:val="ka"/>
        </w:rPr>
        <w:t xml:space="preserve"> </w:t>
      </w:r>
      <w:r>
        <w:rPr>
          <w:b/>
          <w:bCs/>
          <w:lang w:val="ka"/>
        </w:rPr>
        <w:t xml:space="preserve">წესიერებას</w:t>
      </w:r>
      <w:r>
        <w:rPr>
          <w:lang w:val="ka"/>
        </w:rPr>
        <w:t xml:space="preserve"> </w:t>
      </w:r>
      <w:r>
        <w:rPr>
          <w:lang w:val="ka"/>
        </w:rPr>
        <w:t xml:space="preserve">და</w:t>
      </w:r>
      <w:r>
        <w:rPr>
          <w:lang w:val="ka"/>
        </w:rPr>
        <w:t xml:space="preserve"> </w:t>
      </w:r>
      <w:r>
        <w:rPr>
          <w:b/>
          <w:bCs/>
          <w:lang w:val="ka"/>
        </w:rPr>
        <w:t xml:space="preserve">ფინანსური მართვის გონივრულობას</w:t>
      </w:r>
      <w:r>
        <w:rPr>
          <w:lang w:val="ka"/>
        </w:rPr>
        <w:t xml:space="preserve"> </w:t>
      </w:r>
      <w:r>
        <w:rPr>
          <w:lang w:val="ka"/>
        </w:rPr>
        <w:t xml:space="preserve">(287(2)) — დოკუმენტებით და</w:t>
      </w:r>
      <w:r>
        <w:rPr>
          <w:lang w:val="ka"/>
        </w:rPr>
        <w:t xml:space="preserve"> </w:t>
      </w:r>
      <w:r>
        <w:rPr>
          <w:b/>
          <w:bCs/>
          <w:lang w:val="ka"/>
        </w:rPr>
        <w:t xml:space="preserve">ადგილზე</w:t>
      </w:r>
      <w:r>
        <w:rPr>
          <w:lang w:val="ka"/>
        </w:rPr>
        <w:t xml:space="preserve">, მათ შორის წევრ სახელმწიფოებსა და ბიუჯეტიდან თანხის მიმღებებთან (287(3)). მისი იარაღი</w:t>
      </w:r>
      <w:r>
        <w:rPr>
          <w:lang w:val="ka"/>
        </w:rPr>
        <w:t xml:space="preserve"> </w:t>
      </w:r>
      <w:r>
        <w:rPr>
          <w:b/>
          <w:bCs/>
          <w:lang w:val="ka"/>
        </w:rPr>
        <w:t xml:space="preserve">ანგარიშია</w:t>
      </w:r>
      <w:r>
        <w:rPr>
          <w:lang w:val="ka"/>
        </w:rPr>
        <w:t xml:space="preserve">, არა სასჯელი: წლიური ანგარიში ქვეყნდება ოფიციალურ ჟურნალში</w:t>
      </w:r>
      <w:r>
        <w:rPr>
          <w:lang w:val="ka"/>
        </w:rPr>
        <w:t xml:space="preserve"> </w:t>
      </w:r>
      <w:r>
        <w:rPr>
          <w:b/>
          <w:bCs/>
          <w:lang w:val="ka"/>
        </w:rPr>
        <w:t xml:space="preserve">ორგანოების პასუხებთან ერთად</w:t>
      </w:r>
      <w:r>
        <w:rPr>
          <w:lang w:val="ka"/>
        </w:rPr>
        <w:t xml:space="preserve"> </w:t>
      </w:r>
      <w:r>
        <w:rPr>
          <w:lang w:val="ka"/>
        </w:rPr>
        <w:t xml:space="preserve">(287(4)).</w:t>
      </w:r>
    </w:p>
    <w:p>
      <w:r>
        <w:pict>
          <v:rect style="width:0;height:1.5pt" o:hralign="center" o:hrstd="t" o:hr="t"/>
        </w:pict>
      </w:r>
    </w:p>
    <w:bookmarkEnd w:id="19"/>
    <w:bookmarkStart w:id="20" w:name="X64e7f102a1a1591990f005ec56154eec3c2c445"/>
    <w:p>
      <w:pPr>
        <w:pStyle w:val="Heading1"/>
      </w:pPr>
      <w:r>
        <w:rPr>
          <w:lang w:val="ka"/>
        </w:rPr>
        <w:t xml:space="preserve">IV. საკონსულტაციო კომიტეტები: ორგანოები არ არიან — მაგრამ მათი უგულებელყოფა ძვირი ჯდება</w:t>
      </w:r>
    </w:p>
    <w:p>
      <w:pPr>
        <w:pStyle w:val="FirstParagraph"/>
      </w:pPr>
      <w:r>
        <w:rPr>
          <w:lang w:val="ka"/>
        </w:rPr>
        <w:t xml:space="preserve">TFEU 300(1): ევროპარლამენტს, საბჭოს და კომისიას „ეხმარებიან“</w:t>
      </w:r>
      <w:r>
        <w:rPr>
          <w:lang w:val="ka"/>
        </w:rPr>
        <w:t xml:space="preserve"> </w:t>
      </w:r>
      <w:r>
        <w:rPr>
          <w:b/>
          <w:bCs/>
          <w:lang w:val="ka"/>
        </w:rPr>
        <w:t xml:space="preserve">ეკონომიკურ და სოციალურ საკითხთა ევროპული კომიტეტი</w:t>
      </w:r>
      <w:r>
        <w:rPr>
          <w:lang w:val="ka"/>
        </w:rPr>
        <w:t xml:space="preserve"> </w:t>
      </w:r>
      <w:r>
        <w:rPr>
          <w:lang w:val="ka"/>
        </w:rPr>
        <w:t xml:space="preserve">(სამოქალაქო საზოგადოება — დამსაქმებლები, დასაქმებულები, სხვები) და</w:t>
      </w:r>
      <w:r>
        <w:rPr>
          <w:lang w:val="ka"/>
        </w:rPr>
        <w:t xml:space="preserve"> </w:t>
      </w:r>
      <w:r>
        <w:rPr>
          <w:b/>
          <w:bCs/>
          <w:lang w:val="ka"/>
        </w:rPr>
        <w:t xml:space="preserve">რეგიონების კომიტეტი</w:t>
      </w:r>
      <w:r>
        <w:rPr>
          <w:lang w:val="ka"/>
        </w:rPr>
        <w:t xml:space="preserve"> </w:t>
      </w:r>
      <w:r>
        <w:rPr>
          <w:lang w:val="ka"/>
        </w:rPr>
        <w:t xml:space="preserve">(რეგიონული და ადგილობრივი ხელისუფლება,</w:t>
      </w:r>
      <w:r>
        <w:rPr>
          <w:lang w:val="ka"/>
        </w:rPr>
        <w:t xml:space="preserve"> </w:t>
      </w:r>
      <w:r>
        <w:rPr>
          <w:b/>
          <w:bCs/>
          <w:lang w:val="ka"/>
        </w:rPr>
        <w:t xml:space="preserve">არჩევითი მანდატით</w:t>
      </w:r>
      <w:r>
        <w:rPr>
          <w:lang w:val="ka"/>
        </w:rPr>
        <w:t xml:space="preserve">). ორივეში — მაქს. 350, დღეს</w:t>
      </w:r>
      <w:r>
        <w:rPr>
          <w:lang w:val="ka"/>
        </w:rPr>
        <w:t xml:space="preserve"> </w:t>
      </w:r>
      <w:r>
        <w:rPr>
          <w:b/>
          <w:bCs/>
          <w:lang w:val="ka"/>
        </w:rPr>
        <w:t xml:space="preserve">329</w:t>
      </w:r>
      <w:r>
        <w:rPr>
          <w:lang w:val="ka"/>
        </w:rPr>
        <w:t xml:space="preserve"> </w:t>
      </w:r>
      <w:r>
        <w:rPr>
          <w:lang w:val="ka"/>
        </w:rPr>
        <w:t xml:space="preserve">წევრი (საბჭოს გადაწყვ. 2019/853, 2019/852); ვადა —</w:t>
      </w:r>
      <w:r>
        <w:rPr>
          <w:lang w:val="ka"/>
        </w:rPr>
        <w:t xml:space="preserve"> </w:t>
      </w:r>
      <w:r>
        <w:rPr>
          <w:b/>
          <w:bCs/>
          <w:lang w:val="ka"/>
        </w:rPr>
        <w:t xml:space="preserve">5 წელი</w:t>
      </w:r>
      <w:r>
        <w:rPr>
          <w:lang w:val="ka"/>
        </w:rPr>
        <w:t xml:space="preserve"> </w:t>
      </w:r>
      <w:r>
        <w:rPr>
          <w:lang w:val="ka"/>
        </w:rPr>
        <w:t xml:space="preserve">(302, 305).</w:t>
      </w:r>
    </w:p>
    <w:p>
      <w:pPr>
        <w:pStyle w:val="BodyText"/>
      </w:pPr>
      <w:r>
        <w:rPr>
          <w:lang w:val="ka"/>
        </w:rPr>
        <w:t xml:space="preserve">მათი აზრი</w:t>
      </w:r>
      <w:r>
        <w:rPr>
          <w:lang w:val="ka"/>
        </w:rPr>
        <w:t xml:space="preserve"> </w:t>
      </w:r>
      <w:r>
        <w:rPr>
          <w:b/>
          <w:bCs/>
          <w:lang w:val="ka"/>
        </w:rPr>
        <w:t xml:space="preserve">არ ბოჭავს</w:t>
      </w:r>
      <w:r>
        <w:rPr>
          <w:lang w:val="ka"/>
        </w:rPr>
        <w:t xml:space="preserve">. მაგრამ როცა ხელშეკრულება</w:t>
      </w:r>
      <w:r>
        <w:rPr>
          <w:lang w:val="ka"/>
        </w:rPr>
        <w:t xml:space="preserve"> </w:t>
      </w:r>
      <w:r>
        <w:rPr>
          <w:b/>
          <w:bCs/>
          <w:lang w:val="ka"/>
        </w:rPr>
        <w:t xml:space="preserve">სავალდებულო</w:t>
      </w:r>
      <w:r>
        <w:rPr>
          <w:lang w:val="ka"/>
        </w:rPr>
        <w:t xml:space="preserve"> </w:t>
      </w:r>
      <w:r>
        <w:rPr>
          <w:lang w:val="ka"/>
        </w:rPr>
        <w:t xml:space="preserve">კონსულტაციას ითხოვს, მისი გამოტოვება</w:t>
      </w:r>
      <w:r>
        <w:rPr>
          <w:lang w:val="ka"/>
        </w:rPr>
        <w:t xml:space="preserve"> </w:t>
      </w:r>
      <w:r>
        <w:rPr>
          <w:b/>
          <w:bCs/>
          <w:lang w:val="ka"/>
        </w:rPr>
        <w:t xml:space="preserve">არსებითი პროცედურული მოთხოვნის</w:t>
      </w:r>
      <w:r>
        <w:rPr>
          <w:lang w:val="ka"/>
        </w:rPr>
        <w:t xml:space="preserve"> </w:t>
      </w:r>
      <w:r>
        <w:rPr>
          <w:lang w:val="ka"/>
        </w:rPr>
        <w:t xml:space="preserve">დარღვევაა — აქტის ბათილობის საფუძველი</w:t>
      </w:r>
      <w:r>
        <w:rPr>
          <w:lang w:val="ka"/>
        </w:rPr>
        <w:t xml:space="preserve"> </w:t>
      </w:r>
      <w:r>
        <w:rPr>
          <w:i/>
          <w:iCs/>
          <w:lang w:val="ka"/>
        </w:rPr>
        <w:t xml:space="preserve">(გაბრიჩიძე, პარ. 247, 251)</w:t>
      </w:r>
      <w:r>
        <w:rPr>
          <w:lang w:val="ka"/>
        </w:rPr>
        <w:t xml:space="preserve">. ეს</w:t>
      </w:r>
      <w:r>
        <w:rPr>
          <w:lang w:val="ka"/>
        </w:rPr>
        <w:t xml:space="preserve"> </w:t>
      </w:r>
      <w:r>
        <w:rPr>
          <w:i/>
          <w:iCs/>
          <w:lang w:val="ka"/>
        </w:rPr>
        <w:t xml:space="preserve">Isoglucose</w:t>
      </w:r>
      <w:r>
        <w:rPr>
          <w:lang w:val="ka"/>
        </w:rPr>
        <w:t xml:space="preserve">-ის ლოგიკაა (კვირა 4). ⚠️ ერთი სხვაობა ევროპარლამენტთან: ორგანოს შეუძლია კომიტეტს</w:t>
      </w:r>
      <w:r>
        <w:rPr>
          <w:lang w:val="ka"/>
        </w:rPr>
        <w:t xml:space="preserve"> </w:t>
      </w:r>
      <w:r>
        <w:rPr>
          <w:b/>
          <w:bCs/>
          <w:lang w:val="ka"/>
        </w:rPr>
        <w:t xml:space="preserve">ვადა</w:t>
      </w:r>
      <w:r>
        <w:rPr>
          <w:lang w:val="ka"/>
        </w:rPr>
        <w:t xml:space="preserve"> </w:t>
      </w:r>
      <w:r>
        <w:rPr>
          <w:lang w:val="ka"/>
        </w:rPr>
        <w:t xml:space="preserve">დაუწესოს (მინ. 1 თვე), და „ვადის გასვლის შემდეგ აზრის არარსებობა შემდგომ მოქმედებას</w:t>
      </w:r>
      <w:r>
        <w:rPr>
          <w:lang w:val="ka"/>
        </w:rPr>
        <w:t xml:space="preserve"> </w:t>
      </w:r>
      <w:r>
        <w:rPr>
          <w:b/>
          <w:bCs/>
          <w:lang w:val="ka"/>
        </w:rPr>
        <w:t xml:space="preserve">არ აბრკოლებს</w:t>
      </w:r>
      <w:r>
        <w:rPr>
          <w:lang w:val="ka"/>
        </w:rPr>
        <w:t xml:space="preserve">“ (304, 307).</w:t>
      </w:r>
    </w:p>
    <w:p>
      <w:pPr>
        <w:pStyle w:val="BodyText"/>
      </w:pPr>
      <w:r>
        <w:rPr>
          <w:b/>
          <w:bCs/>
          <w:lang w:val="ka"/>
        </w:rPr>
        <w:t xml:space="preserve">ერთი ასიმეტრია:</w:t>
      </w:r>
      <w:r>
        <w:rPr>
          <w:lang w:val="ka"/>
        </w:rPr>
        <w:t xml:space="preserve"> </w:t>
      </w:r>
      <w:r>
        <w:rPr>
          <w:lang w:val="ka"/>
        </w:rPr>
        <w:t xml:space="preserve">რეგიონების კომიტეტს</w:t>
      </w:r>
      <w:r>
        <w:rPr>
          <w:lang w:val="ka"/>
        </w:rPr>
        <w:t xml:space="preserve"> </w:t>
      </w:r>
      <w:r>
        <w:rPr>
          <w:b/>
          <w:bCs/>
          <w:lang w:val="ka"/>
        </w:rPr>
        <w:t xml:space="preserve">შეუძლია</w:t>
      </w:r>
      <w:r>
        <w:rPr>
          <w:lang w:val="ka"/>
        </w:rPr>
        <w:t xml:space="preserve"> </w:t>
      </w:r>
      <w:r>
        <w:rPr>
          <w:lang w:val="ka"/>
        </w:rPr>
        <w:t xml:space="preserve">სარჩელი საკუთარი პრეროგატივების დასაცავად, ეკონომიკურ და სოციალურ საკითხთა კომიტეტს —</w:t>
      </w:r>
      <w:r>
        <w:rPr>
          <w:lang w:val="ka"/>
        </w:rPr>
        <w:t xml:space="preserve"> </w:t>
      </w:r>
      <w:r>
        <w:rPr>
          <w:b/>
          <w:bCs/>
          <w:lang w:val="ka"/>
        </w:rPr>
        <w:t xml:space="preserve">არა</w:t>
      </w:r>
      <w:r>
        <w:rPr>
          <w:lang w:val="ka"/>
        </w:rPr>
        <w:t xml:space="preserve"> </w:t>
      </w:r>
      <w:r>
        <w:rPr>
          <w:lang w:val="ka"/>
        </w:rPr>
        <w:t xml:space="preserve">(TFEU 263, მე-3 აბზ.). 📊 → ცხრილი 8.</w:t>
      </w:r>
    </w:p>
    <w:p>
      <w:r>
        <w:pict>
          <v:rect style="width:0;height:1.5pt" o:hralign="center" o:hrstd="t" o:hr="t"/>
        </w:pict>
      </w:r>
    </w:p>
    <w:bookmarkEnd w:id="20"/>
    <w:bookmarkStart w:id="21" w:name="Xce5680635ba99977812b4da6ad80e12e9904696"/>
    <w:p>
      <w:pPr>
        <w:pStyle w:val="Heading1"/>
      </w:pPr>
      <w:r>
        <w:rPr>
          <w:lang w:val="ka"/>
        </w:rPr>
        <w:t xml:space="preserve">V. ორგანოს მიღმა: საინვესტიციო ბანკი, სააგენტოები, პროკურატურა</w:t>
      </w:r>
    </w:p>
    <w:p>
      <w:pPr>
        <w:pStyle w:val="FirstParagraph"/>
      </w:pPr>
      <w:r>
        <w:rPr>
          <w:lang w:val="ka"/>
        </w:rPr>
        <w:t xml:space="preserve">„ორგანო“ (</w:t>
      </w:r>
      <w:r>
        <w:rPr>
          <w:i/>
          <w:iCs/>
          <w:lang w:val="ka"/>
        </w:rPr>
        <w:t xml:space="preserve">institution</w:t>
      </w:r>
      <w:r>
        <w:rPr>
          <w:lang w:val="ka"/>
        </w:rPr>
        <w:t xml:space="preserve">) მხოლოდ შვიდია. დანარჩენი — „</w:t>
      </w:r>
      <w:r>
        <w:rPr>
          <w:b/>
          <w:bCs/>
          <w:lang w:val="ka"/>
        </w:rPr>
        <w:t xml:space="preserve">bodies, offices and agencies</w:t>
      </w:r>
      <w:r>
        <w:rPr>
          <w:lang w:val="ka"/>
        </w:rPr>
        <w:t xml:space="preserve">“. მათი რიცხვი იზრდება; გაბრიჩიძე 2023 წლის თებერვლისთვის</w:t>
      </w:r>
      <w:r>
        <w:rPr>
          <w:lang w:val="ka"/>
        </w:rPr>
        <w:t xml:space="preserve"> </w:t>
      </w:r>
      <w:r>
        <w:rPr>
          <w:b/>
          <w:bCs/>
          <w:lang w:val="ka"/>
        </w:rPr>
        <w:t xml:space="preserve">36</w:t>
      </w:r>
      <w:r>
        <w:rPr>
          <w:lang w:val="ka"/>
        </w:rPr>
        <w:t xml:space="preserve"> </w:t>
      </w:r>
      <w:r>
        <w:rPr>
          <w:lang w:val="ka"/>
        </w:rPr>
        <w:t xml:space="preserve">სააგენტოს ჩამოთვლის</w:t>
      </w:r>
      <w:r>
        <w:rPr>
          <w:lang w:val="ka"/>
        </w:rPr>
        <w:t xml:space="preserve"> </w:t>
      </w:r>
      <w:r>
        <w:rPr>
          <w:i/>
          <w:iCs/>
          <w:lang w:val="ka"/>
        </w:rPr>
        <w:t xml:space="preserve">(გვ. 81–83, პარ. 259)</w:t>
      </w:r>
      <w:r>
        <w:rPr>
          <w:lang w:val="ka"/>
        </w:rPr>
        <w:t xml:space="preserve">. როგორც წესი, მათ</w:t>
      </w:r>
      <w:r>
        <w:rPr>
          <w:lang w:val="ka"/>
        </w:rPr>
        <w:t xml:space="preserve"> </w:t>
      </w:r>
      <w:r>
        <w:rPr>
          <w:b/>
          <w:bCs/>
          <w:lang w:val="ka"/>
        </w:rPr>
        <w:t xml:space="preserve">საკუთარი სამართალსუბიექტობა</w:t>
      </w:r>
      <w:r>
        <w:rPr>
          <w:lang w:val="ka"/>
        </w:rPr>
        <w:t xml:space="preserve"> </w:t>
      </w:r>
      <w:r>
        <w:rPr>
          <w:lang w:val="ka"/>
        </w:rPr>
        <w:t xml:space="preserve">აქვთ და მეორადი აქტით იქმნებიან — ხშირად TFEU</w:t>
      </w:r>
      <w:r>
        <w:rPr>
          <w:lang w:val="ka"/>
        </w:rPr>
        <w:t xml:space="preserve"> </w:t>
      </w:r>
      <w:r>
        <w:rPr>
          <w:b/>
          <w:bCs/>
          <w:lang w:val="ka"/>
        </w:rPr>
        <w:t xml:space="preserve">352</w:t>
      </w:r>
      <w:r>
        <w:rPr>
          <w:lang w:val="ka"/>
        </w:rPr>
        <w:t xml:space="preserve">-ის საფუძველზე</w:t>
      </w:r>
      <w:r>
        <w:rPr>
          <w:lang w:val="ka"/>
        </w:rPr>
        <w:t xml:space="preserve"> </w:t>
      </w:r>
      <w:r>
        <w:rPr>
          <w:i/>
          <w:iCs/>
          <w:lang w:val="ka"/>
        </w:rPr>
        <w:t xml:space="preserve">(პარ. 256–257)</w:t>
      </w:r>
      <w:r>
        <w:rPr>
          <w:lang w:val="ka"/>
        </w:rPr>
        <w:t xml:space="preserve">.</w:t>
      </w:r>
      <w:r>
        <w:rPr>
          <w:lang w:val="ka"/>
        </w:rPr>
        <w:t xml:space="preserve"> </w:t>
      </w:r>
      <w:r>
        <w:rPr>
          <w:b/>
          <w:bCs/>
          <w:lang w:val="ka"/>
        </w:rPr>
        <w:t xml:space="preserve">ევროპის საინვესტიციო ბანკი</w:t>
      </w:r>
      <w:r>
        <w:rPr>
          <w:lang w:val="ka"/>
        </w:rPr>
        <w:t xml:space="preserve"> </w:t>
      </w:r>
      <w:r>
        <w:rPr>
          <w:lang w:val="ka"/>
        </w:rPr>
        <w:t xml:space="preserve">— ხელშეკრულებითაა შექმნილი (TFEU 308–309): წევრები — სახელმწიფოები, ამოცანა — სესხები „არაკომერციულ საფუძველზე“.</w:t>
      </w:r>
    </w:p>
    <w:p>
      <w:pPr>
        <w:pStyle w:val="BodyText"/>
      </w:pPr>
      <w:r>
        <w:rPr>
          <w:b/>
          <w:bCs/>
          <w:lang w:val="ka"/>
        </w:rPr>
        <w:t xml:space="preserve">საზღვარი —</w:t>
      </w:r>
      <w:r>
        <w:rPr>
          <w:b/>
          <w:bCs/>
          <w:lang w:val="ka"/>
        </w:rPr>
        <w:t xml:space="preserve"> </w:t>
      </w:r>
      <w:r>
        <w:rPr>
          <w:b/>
          <w:bCs/>
          <w:i/>
          <w:iCs/>
          <w:lang w:val="ka"/>
        </w:rPr>
        <w:t xml:space="preserve">Meroni</w:t>
      </w:r>
      <w:r>
        <w:rPr>
          <w:b/>
          <w:bCs/>
          <w:lang w:val="ka"/>
        </w:rPr>
        <w:t xml:space="preserve"> </w:t>
      </w:r>
      <w:r>
        <w:rPr>
          <w:b/>
          <w:bCs/>
          <w:lang w:val="ka"/>
        </w:rPr>
        <w:t xml:space="preserve">(1958).</w:t>
      </w:r>
      <w:r>
        <w:rPr>
          <w:lang w:val="ka"/>
        </w:rPr>
        <w:t xml:space="preserve"> </w:t>
      </w:r>
      <w:r>
        <w:rPr>
          <w:lang w:val="ka"/>
        </w:rPr>
        <w:t xml:space="preserve">შეუძლია ორგანოს თავისი ძალაუფლება სააგენტოს გადასცეს? სასამართლომ განასხვავა:</w:t>
      </w:r>
    </w:p>
    <w:p>
      <w:pPr>
        <w:pStyle w:val="BlockText"/>
      </w:pPr>
      <w:r>
        <w:rPr>
          <w:lang w:val="ka"/>
        </w:rPr>
        <w:t xml:space="preserve">„…ასეთი დელეგირება შეიძლება ეხებოდეს მხოლოდ</w:t>
      </w:r>
      <w:r>
        <w:rPr>
          <w:lang w:val="ka"/>
        </w:rPr>
        <w:t xml:space="preserve"> </w:t>
      </w:r>
      <w:r>
        <w:rPr>
          <w:b/>
          <w:bCs/>
          <w:lang w:val="ka"/>
        </w:rPr>
        <w:t xml:space="preserve">მკაფიოდ განსაზღვრულ აღმასრულებელ</w:t>
      </w:r>
      <w:r>
        <w:rPr>
          <w:lang w:val="ka"/>
        </w:rPr>
        <w:t xml:space="preserve"> </w:t>
      </w:r>
      <w:r>
        <w:rPr>
          <w:lang w:val="ka"/>
        </w:rPr>
        <w:t xml:space="preserve">უფლებამოსილებას, რომლის გამოყენებაც სრულად ექვემდებარება [დელეგანტის] ზედამხედველობას.“</w:t>
      </w:r>
    </w:p>
    <w:p>
      <w:pPr>
        <w:pStyle w:val="BlockText"/>
      </w:pPr>
      <w:r>
        <w:rPr>
          <w:i/>
          <w:iCs/>
          <w:lang w:val="ka"/>
        </w:rPr>
        <w:t xml:space="preserve">ორიგინალი:</w:t>
      </w:r>
      <w:r>
        <w:rPr>
          <w:lang w:val="ka"/>
        </w:rPr>
        <w:t xml:space="preserve"> </w:t>
      </w:r>
      <w:r>
        <w:rPr>
          <w:lang w:val="ka"/>
        </w:rPr>
        <w:t xml:space="preserve">„Such delegations of powers, however, can only relate to clearly defined executive powers, the use of which must be entirely subject to the supervision of the High Authority.“ —</w:t>
      </w:r>
      <w:r>
        <w:rPr>
          <w:lang w:val="ka"/>
        </w:rPr>
        <w:t xml:space="preserve"> </w:t>
      </w:r>
      <w:r>
        <w:rPr>
          <w:i/>
          <w:iCs/>
          <w:lang w:val="ka"/>
        </w:rPr>
        <w:t xml:space="preserve">Case 9/56, Meroni v High Authority, ECLI:EU:C:1958:7, ECR-ის ინგლ. გამოცემის გვ. 152 (PDF 18)</w:t>
      </w:r>
    </w:p>
    <w:p>
      <w:pPr>
        <w:pStyle w:val="FirstParagraph"/>
      </w:pPr>
      <w:r>
        <w:rPr>
          <w:b/>
          <w:bCs/>
          <w:lang w:val="ka"/>
        </w:rPr>
        <w:t xml:space="preserve">დისკრეციის</w:t>
      </w:r>
      <w:r>
        <w:rPr>
          <w:lang w:val="ka"/>
        </w:rPr>
        <w:t xml:space="preserve"> </w:t>
      </w:r>
      <w:r>
        <w:rPr>
          <w:lang w:val="ka"/>
        </w:rPr>
        <w:t xml:space="preserve">გადაცემა კი „ჩაანაცვლებს დელეგანტის არჩევანს დელეგატის არჩევანით“ — და ეს დაარღვევდა „</w:t>
      </w:r>
      <w:r>
        <w:rPr>
          <w:b/>
          <w:bCs/>
          <w:lang w:val="ka"/>
        </w:rPr>
        <w:t xml:space="preserve">balance of powers which is characteristic of the institutional structure</w:t>
      </w:r>
      <w:r>
        <w:rPr>
          <w:lang w:val="ka"/>
        </w:rPr>
        <w:t xml:space="preserve">“-ს</w:t>
      </w:r>
      <w:r>
        <w:rPr>
          <w:lang w:val="ka"/>
        </w:rPr>
        <w:t xml:space="preserve"> </w:t>
      </w:r>
      <w:r>
        <w:rPr>
          <w:i/>
          <w:iCs/>
          <w:lang w:val="ka"/>
        </w:rPr>
        <w:t xml:space="preserve">(იქვე)</w:t>
      </w:r>
      <w:r>
        <w:rPr>
          <w:lang w:val="ka"/>
        </w:rPr>
        <w:t xml:space="preserve">. ⚠️ გაბრიჩიძე</w:t>
      </w:r>
      <w:r>
        <w:rPr>
          <w:lang w:val="ka"/>
        </w:rPr>
        <w:t xml:space="preserve"> </w:t>
      </w:r>
      <w:r>
        <w:rPr>
          <w:i/>
          <w:iCs/>
          <w:lang w:val="ka"/>
        </w:rPr>
        <w:t xml:space="preserve">Meroni</w:t>
      </w:r>
      <w:r>
        <w:rPr>
          <w:lang w:val="ka"/>
        </w:rPr>
        <w:t xml:space="preserve">-ს</w:t>
      </w:r>
      <w:r>
        <w:rPr>
          <w:lang w:val="ka"/>
        </w:rPr>
        <w:t xml:space="preserve"> </w:t>
      </w:r>
      <w:r>
        <w:rPr>
          <w:b/>
          <w:bCs/>
          <w:lang w:val="ka"/>
        </w:rPr>
        <w:t xml:space="preserve">კომისიასა</w:t>
      </w:r>
      <w:r>
        <w:rPr>
          <w:lang w:val="ka"/>
        </w:rPr>
        <w:t xml:space="preserve"> </w:t>
      </w:r>
      <w:r>
        <w:rPr>
          <w:lang w:val="ka"/>
        </w:rPr>
        <w:t xml:space="preserve">და</w:t>
      </w:r>
      <w:r>
        <w:rPr>
          <w:lang w:val="ka"/>
        </w:rPr>
        <w:t xml:space="preserve"> </w:t>
      </w:r>
      <w:r>
        <w:rPr>
          <w:b/>
          <w:bCs/>
          <w:lang w:val="ka"/>
        </w:rPr>
        <w:t xml:space="preserve">TFEU 352</w:t>
      </w:r>
      <w:r>
        <w:rPr>
          <w:lang w:val="ka"/>
        </w:rPr>
        <w:t xml:space="preserve">-ს უკავშირებს (პარ. 258); თავად საქმე</w:t>
      </w:r>
      <w:r>
        <w:rPr>
          <w:lang w:val="ka"/>
        </w:rPr>
        <w:t xml:space="preserve"> </w:t>
      </w:r>
      <w:r>
        <w:rPr>
          <w:b/>
          <w:bCs/>
          <w:lang w:val="ka"/>
        </w:rPr>
        <w:t xml:space="preserve">1958</w:t>
      </w:r>
      <w:r>
        <w:rPr>
          <w:lang w:val="ka"/>
        </w:rPr>
        <w:t xml:space="preserve"> </w:t>
      </w:r>
      <w:r>
        <w:rPr>
          <w:lang w:val="ka"/>
        </w:rPr>
        <w:t xml:space="preserve">წლისაა და ECSC-ის</w:t>
      </w:r>
      <w:r>
        <w:rPr>
          <w:lang w:val="ka"/>
        </w:rPr>
        <w:t xml:space="preserve"> </w:t>
      </w:r>
      <w:r>
        <w:rPr>
          <w:b/>
          <w:bCs/>
          <w:lang w:val="ka"/>
        </w:rPr>
        <w:t xml:space="preserve">უმაღლეს ორგანოს</w:t>
      </w:r>
      <w:r>
        <w:rPr>
          <w:lang w:val="ka"/>
        </w:rPr>
        <w:t xml:space="preserve"> </w:t>
      </w:r>
      <w:r>
        <w:rPr>
          <w:lang w:val="ka"/>
        </w:rPr>
        <w:t xml:space="preserve">ეხებოდა — პრინციპი მერე გავრცელდა.</w:t>
      </w:r>
    </w:p>
    <w:p>
      <w:pPr>
        <w:pStyle w:val="BodyText"/>
      </w:pPr>
      <w:r>
        <w:rPr>
          <w:lang w:val="ka"/>
        </w:rPr>
        <w:t xml:space="preserve">📅</w:t>
      </w:r>
      <w:r>
        <w:rPr>
          <w:lang w:val="ka"/>
        </w:rPr>
        <w:t xml:space="preserve"> </w:t>
      </w:r>
      <w:r>
        <w:rPr>
          <w:b/>
          <w:bCs/>
          <w:lang w:val="ka"/>
        </w:rPr>
        <w:t xml:space="preserve">ახალი:</w:t>
      </w:r>
      <w:r>
        <w:rPr>
          <w:lang w:val="ka"/>
        </w:rPr>
        <w:t xml:space="preserve"> </w:t>
      </w:r>
      <w:r>
        <w:rPr>
          <w:b/>
          <w:bCs/>
          <w:lang w:val="ka"/>
        </w:rPr>
        <w:t xml:space="preserve">ევროპული პროკურატურა</w:t>
      </w:r>
      <w:r>
        <w:rPr>
          <w:lang w:val="ka"/>
        </w:rPr>
        <w:t xml:space="preserve"> </w:t>
      </w:r>
      <w:r>
        <w:rPr>
          <w:lang w:val="ka"/>
        </w:rPr>
        <w:t xml:space="preserve">(EPPO) — TFEU 86, საბჭოს რეგულაცია (EU) 2017/1939,</w:t>
      </w:r>
      <w:r>
        <w:rPr>
          <w:lang w:val="ka"/>
        </w:rPr>
        <w:t xml:space="preserve"> </w:t>
      </w:r>
      <w:r>
        <w:rPr>
          <w:b/>
          <w:bCs/>
          <w:lang w:val="ka"/>
        </w:rPr>
        <w:t xml:space="preserve">გაძლიერებული თანამშრომლობით</w:t>
      </w:r>
      <w:r>
        <w:rPr>
          <w:lang w:val="ka"/>
        </w:rPr>
        <w:t xml:space="preserve"> </w:t>
      </w:r>
      <w:r>
        <w:rPr>
          <w:lang w:val="ka"/>
        </w:rPr>
        <w:t xml:space="preserve">(ყველა სახელმწიფო არ მონაწილეობს). ის წიგნის სიაში არ არის. 📊 → ცხრილი 9.</w:t>
      </w:r>
    </w:p>
    <w:p>
      <w:r>
        <w:pict>
          <v:rect style="width:0;height:1.5pt" o:hralign="center" o:hrstd="t" o:hr="t"/>
        </w:pict>
      </w:r>
    </w:p>
    <w:bookmarkEnd w:id="21"/>
    <w:bookmarkStart w:id="22" w:name="X8c5d3cd29d34ae9fbdfe0802afde553b3e5d40c"/>
    <w:p>
      <w:pPr>
        <w:pStyle w:val="Heading1"/>
      </w:pPr>
      <w:r>
        <w:rPr>
          <w:lang w:val="ka"/>
        </w:rPr>
        <w:t xml:space="preserve">VI. ინსტიტუციური წონასწორობა — ვინ დარაჯობს დარაჯებს?</w:t>
      </w:r>
    </w:p>
    <w:p>
      <w:pPr>
        <w:pStyle w:val="FirstParagraph"/>
      </w:pPr>
      <w:r>
        <w:rPr>
          <w:lang w:val="ka"/>
        </w:rPr>
        <w:t xml:space="preserve">გაბრიჩიძე: ცნება ხელშეკრულებებში „არასრულყოფილადაა“ აღწერილი; მისი</w:t>
      </w:r>
      <w:r>
        <w:rPr>
          <w:lang w:val="ka"/>
        </w:rPr>
        <w:t xml:space="preserve"> </w:t>
      </w:r>
      <w:r>
        <w:rPr>
          <w:b/>
          <w:bCs/>
          <w:lang w:val="ka"/>
        </w:rPr>
        <w:t xml:space="preserve">წყარო სასამართლოა</w:t>
      </w:r>
      <w:r>
        <w:rPr>
          <w:lang w:val="ka"/>
        </w:rPr>
        <w:t xml:space="preserve"> </w:t>
      </w:r>
      <w:r>
        <w:rPr>
          <w:i/>
          <w:iCs/>
          <w:lang w:val="ka"/>
        </w:rPr>
        <w:t xml:space="preserve">(2023, გვ. 84, პარ. 261)</w:t>
      </w:r>
      <w:r>
        <w:rPr>
          <w:lang w:val="ka"/>
        </w:rPr>
        <w:t xml:space="preserve">. სასამართლომ ის ორი მიმართულებით გამოიყენა: (1)</w:t>
      </w:r>
      <w:r>
        <w:rPr>
          <w:lang w:val="ka"/>
        </w:rPr>
        <w:t xml:space="preserve"> </w:t>
      </w:r>
      <w:r>
        <w:rPr>
          <w:b/>
          <w:bCs/>
          <w:lang w:val="ka"/>
        </w:rPr>
        <w:t xml:space="preserve">დაიცვა</w:t>
      </w:r>
      <w:r>
        <w:rPr>
          <w:lang w:val="ka"/>
        </w:rPr>
        <w:t xml:space="preserve"> </w:t>
      </w:r>
      <w:r>
        <w:rPr>
          <w:lang w:val="ka"/>
        </w:rPr>
        <w:t xml:space="preserve">ორგანოს უფლება პროცესში (</w:t>
      </w:r>
      <w:r>
        <w:rPr>
          <w:i/>
          <w:iCs/>
          <w:lang w:val="ka"/>
        </w:rPr>
        <w:t xml:space="preserve">Isoglucose</w:t>
      </w:r>
      <w:r>
        <w:rPr>
          <w:lang w:val="ka"/>
        </w:rPr>
        <w:t xml:space="preserve">, 1980); (2)</w:t>
      </w:r>
      <w:r>
        <w:rPr>
          <w:lang w:val="ka"/>
        </w:rPr>
        <w:t xml:space="preserve"> </w:t>
      </w:r>
      <w:r>
        <w:rPr>
          <w:b/>
          <w:bCs/>
          <w:lang w:val="ka"/>
        </w:rPr>
        <w:t xml:space="preserve">შექმნა</w:t>
      </w:r>
      <w:r>
        <w:rPr>
          <w:lang w:val="ka"/>
        </w:rPr>
        <w:t xml:space="preserve"> </w:t>
      </w:r>
      <w:r>
        <w:rPr>
          <w:lang w:val="ka"/>
        </w:rPr>
        <w:t xml:space="preserve">სარჩელი, რომელსაც ხელშეკრულება არ იცნობდა (</w:t>
      </w:r>
      <w:r>
        <w:rPr>
          <w:i/>
          <w:iCs/>
          <w:lang w:val="ka"/>
        </w:rPr>
        <w:t xml:space="preserve">Les Verts</w:t>
      </w:r>
      <w:r>
        <w:rPr>
          <w:lang w:val="ka"/>
        </w:rPr>
        <w:t xml:space="preserve">, 1986;</w:t>
      </w:r>
      <w:r>
        <w:rPr>
          <w:lang w:val="ka"/>
        </w:rPr>
        <w:t xml:space="preserve"> </w:t>
      </w:r>
      <w:r>
        <w:rPr>
          <w:i/>
          <w:iCs/>
          <w:lang w:val="ka"/>
        </w:rPr>
        <w:t xml:space="preserve">Chernobyl</w:t>
      </w:r>
      <w:r>
        <w:rPr>
          <w:lang w:val="ka"/>
        </w:rPr>
        <w:t xml:space="preserve">, 1990).</w:t>
      </w:r>
    </w:p>
    <w:p>
      <w:pPr>
        <w:pStyle w:val="BlockText"/>
      </w:pPr>
      <w:r>
        <w:rPr>
          <w:lang w:val="ka"/>
        </w:rPr>
        <w:t xml:space="preserve">„ინსტიტუციური წონასწორობის დაცვა ნიშნავს, რომ თითოეული ორგანო თავის უფლებამოსილებას სხვა ორგანოების უფლებამოსილების</w:t>
      </w:r>
      <w:r>
        <w:rPr>
          <w:lang w:val="ka"/>
        </w:rPr>
        <w:t xml:space="preserve"> </w:t>
      </w:r>
      <w:r>
        <w:rPr>
          <w:b/>
          <w:bCs/>
          <w:lang w:val="ka"/>
        </w:rPr>
        <w:t xml:space="preserve">გათვალისწინებით</w:t>
      </w:r>
      <w:r>
        <w:rPr>
          <w:lang w:val="ka"/>
        </w:rPr>
        <w:t xml:space="preserve"> </w:t>
      </w:r>
      <w:r>
        <w:rPr>
          <w:lang w:val="ka"/>
        </w:rPr>
        <w:t xml:space="preserve">ახორციელებს. ის ასევე მოითხოვს, რომ ამ წესის ნებისმიერი დარღვევა</w:t>
      </w:r>
      <w:r>
        <w:rPr>
          <w:lang w:val="ka"/>
        </w:rPr>
        <w:t xml:space="preserve"> </w:t>
      </w:r>
      <w:r>
        <w:rPr>
          <w:b/>
          <w:bCs/>
          <w:lang w:val="ka"/>
        </w:rPr>
        <w:t xml:space="preserve">დასჯადი</w:t>
      </w:r>
      <w:r>
        <w:rPr>
          <w:lang w:val="ka"/>
        </w:rPr>
        <w:t xml:space="preserve"> </w:t>
      </w:r>
      <w:r>
        <w:rPr>
          <w:lang w:val="ka"/>
        </w:rPr>
        <w:t xml:space="preserve">იყოს.“</w:t>
      </w:r>
    </w:p>
    <w:p>
      <w:pPr>
        <w:pStyle w:val="BlockText"/>
      </w:pPr>
      <w:r>
        <w:rPr>
          <w:i/>
          <w:iCs/>
          <w:lang w:val="ka"/>
        </w:rPr>
        <w:t xml:space="preserve">ორიგინალი:</w:t>
      </w:r>
      <w:r>
        <w:rPr>
          <w:lang w:val="ka"/>
        </w:rPr>
        <w:t xml:space="preserve"> </w:t>
      </w:r>
      <w:r>
        <w:rPr>
          <w:lang w:val="ka"/>
        </w:rPr>
        <w:t xml:space="preserve">„Observance of the institutional balance means that each of the institutions must exercise its powers with due regard for the powers of the other institutions. It also requires that it should be possible to penalize any breach of that rule which may occur.“ —</w:t>
      </w:r>
      <w:r>
        <w:rPr>
          <w:lang w:val="ka"/>
        </w:rPr>
        <w:t xml:space="preserve"> </w:t>
      </w:r>
      <w:r>
        <w:rPr>
          <w:i/>
          <w:iCs/>
          <w:lang w:val="ka"/>
        </w:rPr>
        <w:t xml:space="preserve">Case C-70/88, Parliament v Council (Chernobyl), 22 May 1990, პარ. 22</w:t>
      </w:r>
    </w:p>
    <w:p>
      <w:pPr>
        <w:pStyle w:val="FirstParagraph"/>
      </w:pPr>
      <w:r>
        <w:rPr>
          <w:lang w:val="ka"/>
        </w:rPr>
        <w:t xml:space="preserve">იმავე საქმეში: ხელშეკრულებაში ევროპარლამენტის სარჩელის</w:t>
      </w:r>
      <w:r>
        <w:rPr>
          <w:lang w:val="ka"/>
        </w:rPr>
        <w:t xml:space="preserve"> </w:t>
      </w:r>
      <w:r>
        <w:rPr>
          <w:b/>
          <w:bCs/>
          <w:lang w:val="ka"/>
        </w:rPr>
        <w:t xml:space="preserve">არარსებობა</w:t>
      </w:r>
      <w:r>
        <w:rPr>
          <w:lang w:val="ka"/>
        </w:rPr>
        <w:t xml:space="preserve"> </w:t>
      </w:r>
      <w:r>
        <w:rPr>
          <w:lang w:val="ka"/>
        </w:rPr>
        <w:t xml:space="preserve">— „procedural gap“, მაგრამ ის „ვერ გადაწონის ინსტიტუციური წონასწორობის შენარჩუნების ფუნდამენტურ ინტერესს“</w:t>
      </w:r>
      <w:r>
        <w:rPr>
          <w:lang w:val="ka"/>
        </w:rPr>
        <w:t xml:space="preserve"> </w:t>
      </w:r>
      <w:r>
        <w:rPr>
          <w:i/>
          <w:iCs/>
          <w:lang w:val="ka"/>
        </w:rPr>
        <w:t xml:space="preserve">(პარ. 26)</w:t>
      </w:r>
      <w:r>
        <w:rPr>
          <w:lang w:val="ka"/>
        </w:rPr>
        <w:t xml:space="preserve">. შედეგი: ევროპარლამენტს შეუძლია ბათილობის სარჩელი —</w:t>
      </w:r>
      <w:r>
        <w:rPr>
          <w:lang w:val="ka"/>
        </w:rPr>
        <w:t xml:space="preserve"> </w:t>
      </w:r>
      <w:r>
        <w:rPr>
          <w:b/>
          <w:bCs/>
          <w:lang w:val="ka"/>
        </w:rPr>
        <w:t xml:space="preserve">მხოლოდ</w:t>
      </w:r>
      <w:r>
        <w:rPr>
          <w:lang w:val="ka"/>
        </w:rPr>
        <w:t xml:space="preserve"> </w:t>
      </w:r>
      <w:r>
        <w:rPr>
          <w:lang w:val="ka"/>
        </w:rPr>
        <w:t xml:space="preserve">საკუთარი პრეროგატივების დასაცავად</w:t>
      </w:r>
      <w:r>
        <w:rPr>
          <w:lang w:val="ka"/>
        </w:rPr>
        <w:t xml:space="preserve"> </w:t>
      </w:r>
      <w:r>
        <w:rPr>
          <w:i/>
          <w:iCs/>
          <w:lang w:val="ka"/>
        </w:rPr>
        <w:t xml:space="preserve">(პარ. 27)</w:t>
      </w:r>
      <w:r>
        <w:rPr>
          <w:lang w:val="ka"/>
        </w:rPr>
        <w:t xml:space="preserve">.</w:t>
      </w:r>
    </w:p>
    <w:p>
      <w:pPr>
        <w:pStyle w:val="BodyText"/>
      </w:pPr>
      <w:r>
        <w:rPr>
          <w:b/>
          <w:bCs/>
          <w:lang w:val="ka"/>
        </w:rPr>
        <w:t xml:space="preserve">შეხედეთ რიგს</w:t>
      </w:r>
      <w:r>
        <w:rPr>
          <w:lang w:val="ka"/>
        </w:rPr>
        <w:t xml:space="preserve"> </w:t>
      </w:r>
      <w:r>
        <w:rPr>
          <w:lang w:val="ka"/>
        </w:rPr>
        <w:t xml:space="preserve">(📊 → ცხრილი 10): 1986 და 1990 —</w:t>
      </w:r>
      <w:r>
        <w:rPr>
          <w:lang w:val="ka"/>
        </w:rPr>
        <w:t xml:space="preserve"> </w:t>
      </w:r>
      <w:r>
        <w:rPr>
          <w:b/>
          <w:bCs/>
          <w:lang w:val="ka"/>
        </w:rPr>
        <w:t xml:space="preserve">სასამართლო</w:t>
      </w:r>
      <w:r>
        <w:rPr>
          <w:lang w:val="ka"/>
        </w:rPr>
        <w:t xml:space="preserve">; 1992 (მაასტრიხტი) — ხელშეკრულება</w:t>
      </w:r>
      <w:r>
        <w:rPr>
          <w:lang w:val="ka"/>
        </w:rPr>
        <w:t xml:space="preserve"> </w:t>
      </w:r>
      <w:r>
        <w:rPr>
          <w:b/>
          <w:bCs/>
          <w:lang w:val="ka"/>
        </w:rPr>
        <w:t xml:space="preserve">იმეორებს</w:t>
      </w:r>
      <w:r>
        <w:rPr>
          <w:lang w:val="ka"/>
        </w:rPr>
        <w:t xml:space="preserve">: ევროპარლამენტის აქტები გასაჩივრებადია, ევროპარლამენტი იჩივლებს პრეროგატივების დასაცავად; 2001 (ნიცა) — ევროპარლამენტი</w:t>
      </w:r>
      <w:r>
        <w:rPr>
          <w:lang w:val="ka"/>
        </w:rPr>
        <w:t xml:space="preserve"> </w:t>
      </w:r>
      <w:r>
        <w:rPr>
          <w:b/>
          <w:bCs/>
          <w:lang w:val="ka"/>
        </w:rPr>
        <w:t xml:space="preserve">სრულუფლებიანი</w:t>
      </w:r>
      <w:r>
        <w:rPr>
          <w:lang w:val="ka"/>
        </w:rPr>
        <w:t xml:space="preserve"> </w:t>
      </w:r>
      <w:r>
        <w:rPr>
          <w:lang w:val="ka"/>
        </w:rPr>
        <w:t xml:space="preserve">მოსარჩელეა. ეს არის გაბრიჩიძის თეზისი: სასამართლო უფლებამოსილებებს „არა მარტო იცავს, არამედ ნაწილობრივ</w:t>
      </w:r>
      <w:r>
        <w:rPr>
          <w:lang w:val="ka"/>
        </w:rPr>
        <w:t xml:space="preserve"> </w:t>
      </w:r>
      <w:r>
        <w:rPr>
          <w:b/>
          <w:bCs/>
          <w:lang w:val="ka"/>
        </w:rPr>
        <w:t xml:space="preserve">აყალიბებს</w:t>
      </w:r>
      <w:r>
        <w:rPr>
          <w:lang w:val="ka"/>
        </w:rPr>
        <w:t xml:space="preserve">“</w:t>
      </w:r>
      <w:r>
        <w:rPr>
          <w:lang w:val="ka"/>
        </w:rPr>
        <w:t xml:space="preserve"> </w:t>
      </w:r>
      <w:r>
        <w:rPr>
          <w:i/>
          <w:iCs/>
          <w:lang w:val="ka"/>
        </w:rPr>
        <w:t xml:space="preserve">(პარ. 264)</w:t>
      </w:r>
      <w:r>
        <w:rPr>
          <w:lang w:val="ka"/>
        </w:rPr>
        <w:t xml:space="preserve">.</w:t>
      </w:r>
    </w:p>
    <w:p>
      <w:pPr>
        <w:pStyle w:val="BodyText"/>
      </w:pPr>
      <w:r>
        <w:rPr>
          <w:b/>
          <w:bCs/>
          <w:lang w:val="ka"/>
        </w:rPr>
        <w:t xml:space="preserve">სემინარზე</w:t>
      </w:r>
      <w:r>
        <w:rPr>
          <w:lang w:val="ka"/>
        </w:rPr>
        <w:t xml:space="preserve"> </w:t>
      </w:r>
      <w:r>
        <w:rPr>
          <w:lang w:val="ka"/>
        </w:rPr>
        <w:t xml:space="preserve">—</w:t>
      </w:r>
      <w:r>
        <w:rPr>
          <w:lang w:val="ka"/>
        </w:rPr>
        <w:t xml:space="preserve"> </w:t>
      </w:r>
      <w:r>
        <w:rPr>
          <w:i/>
          <w:iCs/>
          <w:lang w:val="ka"/>
        </w:rPr>
        <w:t xml:space="preserve">Les Verts</w:t>
      </w:r>
      <w:r>
        <w:rPr>
          <w:lang w:val="ka"/>
        </w:rPr>
        <w:t xml:space="preserve">: სასამართლომ ევროპარლამენტის აქტი გააუქმა, თუმცა ხელშეკრულება მხოლოდ საბჭოსა და კომისიის აქტებს ასახელებდა. ეს</w:t>
      </w:r>
      <w:r>
        <w:rPr>
          <w:lang w:val="ka"/>
        </w:rPr>
        <w:t xml:space="preserve"> </w:t>
      </w:r>
      <w:r>
        <w:rPr>
          <w:b/>
          <w:bCs/>
          <w:lang w:val="ka"/>
        </w:rPr>
        <w:t xml:space="preserve">სამართლის უზენაესობაა</w:t>
      </w:r>
      <w:r>
        <w:rPr>
          <w:lang w:val="ka"/>
        </w:rPr>
        <w:t xml:space="preserve"> </w:t>
      </w:r>
      <w:r>
        <w:rPr>
          <w:lang w:val="ka"/>
        </w:rPr>
        <w:t xml:space="preserve">თუ</w:t>
      </w:r>
      <w:r>
        <w:rPr>
          <w:lang w:val="ka"/>
        </w:rPr>
        <w:t xml:space="preserve"> </w:t>
      </w:r>
      <w:r>
        <w:rPr>
          <w:b/>
          <w:bCs/>
          <w:lang w:val="ka"/>
        </w:rPr>
        <w:t xml:space="preserve">სასამართლო აქტივიზმი</w:t>
      </w:r>
      <w:r>
        <w:rPr>
          <w:lang w:val="ka"/>
        </w:rPr>
        <w:t xml:space="preserve">?</w:t>
      </w:r>
    </w:p>
    <w:p>
      <w:r>
        <w:pict>
          <v:rect style="width:0;height:1.5pt" o:hralign="center" o:hrstd="t" o:hr="t"/>
        </w:pict>
      </w:r>
    </w:p>
    <w:bookmarkEnd w:id="22"/>
    <w:bookmarkStart w:id="23" w:name="X8911fa51d19b655776e7d84ca5ea87292d1d724"/>
    <w:p>
      <w:pPr>
        <w:pStyle w:val="Heading1"/>
      </w:pPr>
      <w:r>
        <w:rPr>
          <w:lang w:val="ka"/>
        </w:rPr>
        <w:t xml:space="preserve">VII. 🔎 წყაროს კრიტიკა — წიგნი და ხელშეკრულება</w:t>
      </w:r>
    </w:p>
    <w:p>
      <w:pPr>
        <w:pStyle w:val="FirstParagraph"/>
      </w:pPr>
      <w:r>
        <w:rPr>
          <w:lang w:val="ka"/>
        </w:rPr>
        <w:t xml:space="preserve">გაბრიჩიძე 2023-ის V თავის ბოლო ნაწილი (გვ. 68–85) ლოგიკას კარგად ხსნის, მაგრამ რამდენიმე</w:t>
      </w:r>
      <w:r>
        <w:rPr>
          <w:lang w:val="ka"/>
        </w:rPr>
        <w:t xml:space="preserve"> </w:t>
      </w:r>
      <w:r>
        <w:rPr>
          <w:b/>
          <w:bCs/>
          <w:lang w:val="ka"/>
        </w:rPr>
        <w:t xml:space="preserve">მუხლის ნომერი</w:t>
      </w:r>
      <w:r>
        <w:rPr>
          <w:lang w:val="ka"/>
        </w:rPr>
        <w:t xml:space="preserve"> </w:t>
      </w:r>
      <w:r>
        <w:rPr>
          <w:lang w:val="ka"/>
        </w:rPr>
        <w:t xml:space="preserve">ხელშეკრულებას არ ემთხვევა, ზოგი ფაქტი კი</w:t>
      </w:r>
      <w:r>
        <w:rPr>
          <w:lang w:val="ka"/>
        </w:rPr>
        <w:t xml:space="preserve"> </w:t>
      </w:r>
      <w:r>
        <w:rPr>
          <w:b/>
          <w:bCs/>
          <w:lang w:val="ka"/>
        </w:rPr>
        <w:t xml:space="preserve">მოძველდა</w:t>
      </w:r>
      <w:r>
        <w:rPr>
          <w:lang w:val="ka"/>
        </w:rPr>
        <w:t xml:space="preserve">. გამოცდაზე —</w:t>
      </w:r>
      <w:r>
        <w:rPr>
          <w:lang w:val="ka"/>
        </w:rPr>
        <w:t xml:space="preserve"> </w:t>
      </w:r>
      <w:r>
        <w:rPr>
          <w:b/>
          <w:bCs/>
          <w:lang w:val="ka"/>
        </w:rPr>
        <w:t xml:space="preserve">ხელშეკრულების</w:t>
      </w:r>
      <w:r>
        <w:rPr>
          <w:lang w:val="ka"/>
        </w:rPr>
        <w:t xml:space="preserve"> </w:t>
      </w:r>
      <w:r>
        <w:rPr>
          <w:lang w:val="ka"/>
        </w:rPr>
        <w:t xml:space="preserve">ვერსია.</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ka"/>
              </w:rPr>
              <w:t xml:space="preserve">წიგნში (გვ., პარ.)</w:t>
            </w:r>
          </w:p>
        </w:tc>
        <w:tc>
          <w:tcPr/>
          <w:p>
            <w:pPr>
              <w:pStyle w:val="Compact"/>
            </w:pPr>
            <w:r>
              <w:rPr>
                <w:lang w:val="ka"/>
              </w:rPr>
              <w:t xml:space="preserve">ხელშეკრულება / ოფიციალური წყარო</w:t>
            </w:r>
          </w:p>
        </w:tc>
      </w:tr>
      <w:tr>
        <w:tc>
          <w:tcPr/>
          <w:p>
            <w:pPr>
              <w:pStyle w:val="Compact"/>
            </w:pPr>
            <w:r>
              <w:rPr>
                <w:lang w:val="ka"/>
              </w:rPr>
              <w:t xml:space="preserve">ხელშეკრულების დარღვევის სარჩელი — TFEU „</w:t>
            </w:r>
            <w:r>
              <w:rPr>
                <w:b/>
                <w:bCs/>
                <w:lang w:val="ka"/>
              </w:rPr>
              <w:t xml:space="preserve">257</w:t>
            </w:r>
            <w:r>
              <w:rPr>
                <w:lang w:val="ka"/>
              </w:rPr>
              <w:t xml:space="preserve">-ე და 258-ე“ (73, პარ. 234)</w:t>
            </w:r>
          </w:p>
        </w:tc>
        <w:tc>
          <w:tcPr/>
          <w:p>
            <w:pPr>
              <w:pStyle w:val="Compact"/>
            </w:pPr>
            <w:r>
              <w:rPr>
                <w:b/>
                <w:bCs/>
                <w:lang w:val="ka"/>
              </w:rPr>
              <w:t xml:space="preserve">258–260</w:t>
            </w:r>
            <w:r>
              <w:rPr>
                <w:lang w:val="ka"/>
              </w:rPr>
              <w:t xml:space="preserve">; 257 — სპეციალიზებული სასამართლოები (PDF გვ. 155)</w:t>
            </w:r>
          </w:p>
        </w:tc>
      </w:tr>
      <w:tr>
        <w:tc>
          <w:tcPr/>
          <w:p>
            <w:pPr>
              <w:pStyle w:val="Compact"/>
            </w:pPr>
            <w:r>
              <w:rPr>
                <w:lang w:val="ka"/>
              </w:rPr>
              <w:t xml:space="preserve">CFSP-ში სასამართლოს გამონაკლისი — TFEU „</w:t>
            </w:r>
            <w:r>
              <w:rPr>
                <w:b/>
                <w:bCs/>
                <w:lang w:val="ka"/>
              </w:rPr>
              <w:t xml:space="preserve">215(3)</w:t>
            </w:r>
            <w:r>
              <w:rPr>
                <w:lang w:val="ka"/>
              </w:rPr>
              <w:t xml:space="preserve">“ (72–73, პარ. 232)</w:t>
            </w:r>
          </w:p>
        </w:tc>
        <w:tc>
          <w:tcPr/>
          <w:p>
            <w:pPr>
              <w:pStyle w:val="Compact"/>
            </w:pPr>
            <w:r>
              <w:rPr>
                <w:b/>
                <w:bCs/>
                <w:lang w:val="ka"/>
              </w:rPr>
              <w:t xml:space="preserve">275</w:t>
            </w:r>
            <w:r>
              <w:rPr>
                <w:lang w:val="ka"/>
              </w:rPr>
              <w:t xml:space="preserve">, მეორე აბზ.; 215(3) — „legal safeguards“ სანქციების აქტში (PDF გვ. 138, 161)</w:t>
            </w:r>
          </w:p>
        </w:tc>
      </w:tr>
      <w:tr>
        <w:tc>
          <w:tcPr/>
          <w:p>
            <w:pPr>
              <w:pStyle w:val="Compact"/>
            </w:pPr>
            <w:r>
              <w:rPr>
                <w:lang w:val="ka"/>
              </w:rPr>
              <w:t xml:space="preserve">წინასწარი გადაწყვეტილებები საერთო სასამართლოში „ჯერ არ განხორციელებულა“ (73, სქოლ. 77)</w:t>
            </w:r>
          </w:p>
        </w:tc>
        <w:tc>
          <w:tcPr/>
          <w:p>
            <w:pPr>
              <w:pStyle w:val="Compact"/>
            </w:pPr>
            <w:r>
              <w:rPr>
                <w:lang w:val="ka"/>
              </w:rPr>
              <w:t xml:space="preserve">📅 2024-იდან —</w:t>
            </w:r>
            <w:r>
              <w:rPr>
                <w:lang w:val="ka"/>
              </w:rPr>
              <w:t xml:space="preserve"> </w:t>
            </w:r>
            <w:r>
              <w:rPr>
                <w:b/>
                <w:bCs/>
                <w:lang w:val="ka"/>
              </w:rPr>
              <w:t xml:space="preserve">განხორციელდა</w:t>
            </w:r>
            <w:r>
              <w:rPr>
                <w:lang w:val="ka"/>
              </w:rPr>
              <w:t xml:space="preserve">: რეგ. 2024/2019 → სტატუტი, მუხ. 50b</w:t>
            </w:r>
          </w:p>
        </w:tc>
      </w:tr>
      <w:tr>
        <w:tc>
          <w:tcPr/>
          <w:p>
            <w:pPr>
              <w:pStyle w:val="Compact"/>
            </w:pPr>
            <w:r>
              <w:rPr>
                <w:lang w:val="ka"/>
              </w:rPr>
              <w:t xml:space="preserve">მუდმივი გენერალური ადვოკატი — გერმანია, საფრანგეთი, იტალია, ესპანეთი (+ ბრიტანეთი) (69, სქოლ. 71)</w:t>
            </w:r>
          </w:p>
        </w:tc>
        <w:tc>
          <w:tcPr/>
          <w:p>
            <w:pPr>
              <w:pStyle w:val="Compact"/>
            </w:pPr>
            <w:r>
              <w:rPr>
                <w:lang w:val="ka"/>
              </w:rPr>
              <w:t xml:space="preserve">+</w:t>
            </w:r>
            <w:r>
              <w:rPr>
                <w:lang w:val="ka"/>
              </w:rPr>
              <w:t xml:space="preserve"> </w:t>
            </w:r>
            <w:r>
              <w:rPr>
                <w:b/>
                <w:bCs/>
                <w:lang w:val="ka"/>
              </w:rPr>
              <w:t xml:space="preserve">პოლონეთი</w:t>
            </w:r>
            <w:r>
              <w:rPr>
                <w:lang w:val="ka"/>
              </w:rPr>
              <w:t xml:space="preserve"> </w:t>
            </w:r>
            <w:r>
              <w:rPr>
                <w:lang w:val="ka"/>
              </w:rPr>
              <w:t xml:space="preserve">— დეკლარაცია №38 (PDF გვ. 340)</w:t>
            </w:r>
          </w:p>
        </w:tc>
      </w:tr>
      <w:tr>
        <w:tc>
          <w:tcPr/>
          <w:p>
            <w:pPr>
              <w:pStyle w:val="Compact"/>
            </w:pPr>
            <w:r>
              <w:rPr>
                <w:lang w:val="ka"/>
              </w:rPr>
              <w:t xml:space="preserve">კანცლერის</w:t>
            </w:r>
            <w:r>
              <w:rPr>
                <w:lang w:val="ka"/>
              </w:rPr>
              <w:t xml:space="preserve"> </w:t>
            </w:r>
            <w:r>
              <w:rPr>
                <w:b/>
                <w:bCs/>
                <w:lang w:val="ka"/>
              </w:rPr>
              <w:t xml:space="preserve">6 წლიანი</w:t>
            </w:r>
            <w:r>
              <w:rPr>
                <w:lang w:val="ka"/>
              </w:rPr>
              <w:t xml:space="preserve"> </w:t>
            </w:r>
            <w:r>
              <w:rPr>
                <w:lang w:val="ka"/>
              </w:rPr>
              <w:t xml:space="preserve">ვადა — „TFEU 253(5)“ (70, პარ. 221)</w:t>
            </w:r>
          </w:p>
        </w:tc>
        <w:tc>
          <w:tcPr/>
          <w:p>
            <w:pPr>
              <w:pStyle w:val="Compact"/>
            </w:pPr>
            <w:r>
              <w:rPr>
                <w:lang w:val="ka"/>
              </w:rPr>
              <w:t xml:space="preserve">253 კანცლერის</w:t>
            </w:r>
            <w:r>
              <w:rPr>
                <w:lang w:val="ka"/>
              </w:rPr>
              <w:t xml:space="preserve"> </w:t>
            </w:r>
            <w:r>
              <w:rPr>
                <w:b/>
                <w:bCs/>
                <w:lang w:val="ka"/>
              </w:rPr>
              <w:t xml:space="preserve">დანიშვნას</w:t>
            </w:r>
            <w:r>
              <w:rPr>
                <w:lang w:val="ka"/>
              </w:rPr>
              <w:t xml:space="preserve"> </w:t>
            </w:r>
            <w:r>
              <w:rPr>
                <w:lang w:val="ka"/>
              </w:rPr>
              <w:t xml:space="preserve">ითვალისწინებს, ვადას</w:t>
            </w:r>
            <w:r>
              <w:rPr>
                <w:lang w:val="ka"/>
              </w:rPr>
              <w:t xml:space="preserve"> </w:t>
            </w:r>
            <w:r>
              <w:rPr>
                <w:b/>
                <w:bCs/>
                <w:lang w:val="ka"/>
              </w:rPr>
              <w:t xml:space="preserve">არ</w:t>
            </w:r>
            <w:r>
              <w:rPr>
                <w:lang w:val="ka"/>
              </w:rPr>
              <w:t xml:space="preserve"> </w:t>
            </w:r>
            <w:r>
              <w:rPr>
                <w:lang w:val="ka"/>
              </w:rPr>
              <w:t xml:space="preserve">ადგენს</w:t>
            </w:r>
          </w:p>
        </w:tc>
      </w:tr>
      <w:tr>
        <w:tc>
          <w:tcPr/>
          <w:p>
            <w:pPr>
              <w:pStyle w:val="Compact"/>
            </w:pPr>
            <w:r>
              <w:rPr>
                <w:lang w:val="ka"/>
              </w:rPr>
              <w:t xml:space="preserve">ECB-ის მმართველ საბჭოში — „კომისიის</w:t>
            </w:r>
            <w:r>
              <w:rPr>
                <w:lang w:val="ka"/>
              </w:rPr>
              <w:t xml:space="preserve"> </w:t>
            </w:r>
            <w:r>
              <w:rPr>
                <w:b/>
                <w:bCs/>
                <w:lang w:val="ka"/>
              </w:rPr>
              <w:t xml:space="preserve">პრეზიდენტი</w:t>
            </w:r>
            <w:r>
              <w:rPr>
                <w:lang w:val="ka"/>
              </w:rPr>
              <w:t xml:space="preserve">“ (76–77, პარ. 245)</w:t>
            </w:r>
          </w:p>
        </w:tc>
        <w:tc>
          <w:tcPr/>
          <w:p>
            <w:pPr>
              <w:pStyle w:val="Compact"/>
            </w:pPr>
            <w:r>
              <w:rPr>
                <w:lang w:val="ka"/>
              </w:rPr>
              <w:t xml:space="preserve">„</w:t>
            </w:r>
            <w:r>
              <w:rPr>
                <w:b/>
                <w:bCs/>
                <w:lang w:val="ka"/>
              </w:rPr>
              <w:t xml:space="preserve">a Member of the Commission</w:t>
            </w:r>
            <w:r>
              <w:rPr>
                <w:lang w:val="ka"/>
              </w:rPr>
              <w:t xml:space="preserve">“ — TFEU 284(1) (PDF გვ. 163)</w:t>
            </w:r>
          </w:p>
        </w:tc>
      </w:tr>
      <w:tr>
        <w:tc>
          <w:tcPr/>
          <w:p>
            <w:pPr>
              <w:pStyle w:val="Compact"/>
            </w:pPr>
            <w:r>
              <w:rPr>
                <w:lang w:val="ka"/>
              </w:rPr>
              <w:t xml:space="preserve">ECB-ის წლიური ანგარიში — TFEU „</w:t>
            </w:r>
            <w:r>
              <w:rPr>
                <w:b/>
                <w:bCs/>
                <w:lang w:val="ka"/>
              </w:rPr>
              <w:t xml:space="preserve">287(3)</w:t>
            </w:r>
            <w:r>
              <w:rPr>
                <w:lang w:val="ka"/>
              </w:rPr>
              <w:t xml:space="preserve">“ (77, პარ. 245)</w:t>
            </w:r>
          </w:p>
        </w:tc>
        <w:tc>
          <w:tcPr/>
          <w:p>
            <w:pPr>
              <w:pStyle w:val="Compact"/>
            </w:pPr>
            <w:r>
              <w:rPr>
                <w:b/>
                <w:bCs/>
                <w:lang w:val="ka"/>
              </w:rPr>
              <w:t xml:space="preserve">284(3)</w:t>
            </w:r>
            <w:r>
              <w:rPr>
                <w:lang w:val="ka"/>
              </w:rPr>
              <w:t xml:space="preserve">; 287 — აუდიტორთა სასამართლო</w:t>
            </w:r>
          </w:p>
        </w:tc>
      </w:tr>
      <w:tr>
        <w:tc>
          <w:tcPr/>
          <w:p>
            <w:pPr>
              <w:pStyle w:val="Compact"/>
            </w:pPr>
            <w:r>
              <w:rPr>
                <w:lang w:val="ka"/>
              </w:rPr>
              <w:t xml:space="preserve">საინვესტიციო ბანკის სამართალსუბიექტობა — TFEU „</w:t>
            </w:r>
            <w:r>
              <w:rPr>
                <w:b/>
                <w:bCs/>
                <w:lang w:val="ka"/>
              </w:rPr>
              <w:t xml:space="preserve">306</w:t>
            </w:r>
            <w:r>
              <w:rPr>
                <w:lang w:val="ka"/>
              </w:rPr>
              <w:t xml:space="preserve">“ (79, პარ. 252)</w:t>
            </w:r>
          </w:p>
        </w:tc>
        <w:tc>
          <w:tcPr/>
          <w:p>
            <w:pPr>
              <w:pStyle w:val="Compact"/>
            </w:pPr>
            <w:r>
              <w:rPr>
                <w:b/>
                <w:bCs/>
                <w:lang w:val="ka"/>
              </w:rPr>
              <w:t xml:space="preserve">308</w:t>
            </w:r>
            <w:r>
              <w:rPr>
                <w:lang w:val="ka"/>
              </w:rPr>
              <w:t xml:space="preserve">; 306 — რეგიონების კომიტეტის თავმჯდომარე (PDF გვ. 174–175)</w:t>
            </w:r>
          </w:p>
        </w:tc>
      </w:tr>
      <w:tr>
        <w:tc>
          <w:tcPr/>
          <w:p>
            <w:pPr>
              <w:pStyle w:val="Compact"/>
            </w:pPr>
            <w:r>
              <w:rPr>
                <w:lang w:val="ka"/>
              </w:rPr>
              <w:t xml:space="preserve">ევროზონა — „</w:t>
            </w:r>
            <w:r>
              <w:rPr>
                <w:b/>
                <w:bCs/>
                <w:lang w:val="ka"/>
              </w:rPr>
              <w:t xml:space="preserve">20</w:t>
            </w:r>
            <w:r>
              <w:rPr>
                <w:lang w:val="ka"/>
              </w:rPr>
              <w:t xml:space="preserve">“ სახელმწიფო (76, სქოლ. 78)</w:t>
            </w:r>
          </w:p>
        </w:tc>
        <w:tc>
          <w:tcPr/>
          <w:p>
            <w:pPr>
              <w:pStyle w:val="Compact"/>
            </w:pPr>
            <w:r>
              <w:rPr>
                <w:lang w:val="ka"/>
              </w:rPr>
              <w:t xml:space="preserve">📅 2026:</w:t>
            </w:r>
            <w:r>
              <w:rPr>
                <w:lang w:val="ka"/>
              </w:rPr>
              <w:t xml:space="preserve"> </w:t>
            </w:r>
            <w:r>
              <w:rPr>
                <w:b/>
                <w:bCs/>
                <w:lang w:val="ka"/>
              </w:rPr>
              <w:t xml:space="preserve">21</w:t>
            </w:r>
            <w:r>
              <w:rPr>
                <w:lang w:val="ka"/>
              </w:rPr>
              <w:t xml:space="preserve"> </w:t>
            </w:r>
            <w:r>
              <w:rPr>
                <w:lang w:val="ka"/>
              </w:rPr>
              <w:t xml:space="preserve">— 2025/1407 (ბულგარეთი)</w:t>
            </w:r>
          </w:p>
        </w:tc>
      </w:tr>
    </w:tbl>
    <w:p>
      <w:pPr>
        <w:pStyle w:val="BodyText"/>
      </w:pPr>
      <w:r>
        <w:rPr>
          <w:lang w:val="ka"/>
        </w:rPr>
        <w:t xml:space="preserve">✅</w:t>
      </w:r>
      <w:r>
        <w:rPr>
          <w:lang w:val="ka"/>
        </w:rPr>
        <w:t xml:space="preserve"> </w:t>
      </w:r>
      <w:r>
        <w:rPr>
          <w:b/>
          <w:bCs/>
          <w:lang w:val="ka"/>
        </w:rPr>
        <w:t xml:space="preserve">რაც დადასტურდა:</w:t>
      </w:r>
      <w:r>
        <w:rPr>
          <w:lang w:val="ka"/>
        </w:rPr>
        <w:t xml:space="preserve"> </w:t>
      </w:r>
      <w:r>
        <w:rPr>
          <w:lang w:val="ka"/>
        </w:rPr>
        <w:t xml:space="preserve">EESC-ისა და CoR-ის 329 წევრი და კვოტები (24 … 5 — მალტა) — 2019/853, 2019/852; ECB-ის შექმნა</w:t>
      </w:r>
      <w:r>
        <w:rPr>
          <w:lang w:val="ka"/>
        </w:rPr>
        <w:t xml:space="preserve"> </w:t>
      </w:r>
      <w:r>
        <w:rPr>
          <w:b/>
          <w:bCs/>
          <w:lang w:val="ka"/>
        </w:rPr>
        <w:t xml:space="preserve">1.7.1998</w:t>
      </w:r>
      <w:r>
        <w:rPr>
          <w:lang w:val="ka"/>
        </w:rPr>
        <w:t xml:space="preserve"> </w:t>
      </w:r>
      <w:r>
        <w:rPr>
          <w:lang w:val="ka"/>
        </w:rPr>
        <w:t xml:space="preserve">— 2025/1407, პრეამბ. 5; პირველი ინსტანციის სასამართლო — 88/591 (24.10.1988); საჯარო სამსახურის სასამართლო — 2004/752, 7 მოსამართლე.</w:t>
      </w:r>
    </w:p>
    <w:p>
      <w:pPr>
        <w:pStyle w:val="BodyText"/>
      </w:pPr>
      <w:r>
        <w:rPr>
          <w:i/>
          <w:iCs/>
          <w:lang w:val="ka"/>
        </w:rPr>
        <w:t xml:space="preserve">სრული სია — ლექტორის „შეცდომების“ გვერდზე.</w:t>
      </w:r>
    </w:p>
    <w:p>
      <w:r>
        <w:pict>
          <v:rect style="width:0;height:1.5pt" o:hralign="center" o:hrstd="t" o:hr="t"/>
        </w:pict>
      </w:r>
    </w:p>
    <w:bookmarkEnd w:id="23"/>
    <w:bookmarkStart w:id="24" w:name="Xe54b94b47f192c82c04000af68dd32915544e9d"/>
    <w:p>
      <w:pPr>
        <w:pStyle w:val="Heading1"/>
      </w:pPr>
      <w:r>
        <w:rPr>
          <w:lang w:val="ka"/>
        </w:rPr>
        <w:t xml:space="preserve">VIII. 🔓 დასაწყისის ამოხსნა — რატომ 11 და არა 8</w:t>
      </w:r>
    </w:p>
    <w:p>
      <w:pPr>
        <w:pStyle w:val="FirstParagraph"/>
      </w:pPr>
      <w:r>
        <w:rPr>
          <w:b/>
          <w:bCs/>
          <w:lang w:val="ka"/>
        </w:rPr>
        <w:t xml:space="preserve">1. პასუხი იმავე მუხლშია.</w:t>
      </w:r>
      <w:r>
        <w:rPr>
          <w:lang w:val="ka"/>
        </w:rPr>
        <w:t xml:space="preserve"> </w:t>
      </w:r>
      <w:r>
        <w:rPr>
          <w:lang w:val="ka"/>
        </w:rPr>
        <w:t xml:space="preserve">252-ის პირველი აბზაცი ასე გრძელდება:</w:t>
      </w:r>
    </w:p>
    <w:p>
      <w:pPr>
        <w:pStyle w:val="BlockText"/>
      </w:pPr>
      <w:r>
        <w:rPr>
          <w:lang w:val="ka"/>
        </w:rPr>
        <w:t xml:space="preserve">„…</w:t>
      </w:r>
      <w:r>
        <w:rPr>
          <w:b/>
          <w:bCs/>
          <w:lang w:val="ka"/>
        </w:rPr>
        <w:t xml:space="preserve">თუ მართლმსაჯულების სასამართლო ამას მოითხოვს, საბჭოს, ერთხმად, შეუძლია გენერალური ადვოკატების რაოდენობის გაზრდა</w:t>
      </w:r>
      <w:r>
        <w:rPr>
          <w:lang w:val="ka"/>
        </w:rPr>
        <w:t xml:space="preserve">.“</w:t>
      </w:r>
    </w:p>
    <w:p>
      <w:pPr>
        <w:pStyle w:val="BlockText"/>
      </w:pPr>
      <w:r>
        <w:rPr>
          <w:i/>
          <w:iCs/>
          <w:lang w:val="ka"/>
        </w:rPr>
        <w:t xml:space="preserve">ორიგინალი:</w:t>
      </w:r>
      <w:r>
        <w:rPr>
          <w:lang w:val="ka"/>
        </w:rPr>
        <w:t xml:space="preserve"> </w:t>
      </w:r>
      <w:r>
        <w:rPr>
          <w:lang w:val="ka"/>
        </w:rPr>
        <w:t xml:space="preserve">„Should the Court of Justice so request, the Council, acting unanimously, may increase the number of Advocates-General.“ —</w:t>
      </w:r>
      <w:r>
        <w:rPr>
          <w:lang w:val="ka"/>
        </w:rPr>
        <w:t xml:space="preserve"> </w:t>
      </w:r>
      <w:r>
        <w:rPr>
          <w:i/>
          <w:iCs/>
          <w:lang w:val="ka"/>
        </w:rPr>
        <w:t xml:space="preserve">TFEU მუხ. 252, PDF გვ. 152</w:t>
      </w:r>
    </w:p>
    <w:p>
      <w:pPr>
        <w:pStyle w:val="FirstParagraph"/>
      </w:pPr>
      <w:r>
        <w:rPr>
          <w:b/>
          <w:bCs/>
          <w:lang w:val="ka"/>
        </w:rPr>
        <w:t xml:space="preserve">2. ლისაბონის კონფერენციამ ეს წინასწარ „დაჰპირდა“</w:t>
      </w:r>
      <w:r>
        <w:rPr>
          <w:lang w:val="ka"/>
        </w:rPr>
        <w:t xml:space="preserve"> </w:t>
      </w:r>
      <w:r>
        <w:rPr>
          <w:lang w:val="ka"/>
        </w:rPr>
        <w:t xml:space="preserve">— დეკლარაცია №38:</w:t>
      </w:r>
    </w:p>
    <w:p>
      <w:pPr>
        <w:pStyle w:val="BlockText"/>
      </w:pPr>
      <w:r>
        <w:rPr>
          <w:lang w:val="ka"/>
        </w:rPr>
        <w:t xml:space="preserve">„…თუ მართლმსაჯულების სასამართლო მოითხოვს გენერალური ადვოკატების</w:t>
      </w:r>
      <w:r>
        <w:rPr>
          <w:lang w:val="ka"/>
        </w:rPr>
        <w:t xml:space="preserve"> </w:t>
      </w:r>
      <w:r>
        <w:rPr>
          <w:b/>
          <w:bCs/>
          <w:lang w:val="ka"/>
        </w:rPr>
        <w:t xml:space="preserve">სამით</w:t>
      </w:r>
      <w:r>
        <w:rPr>
          <w:lang w:val="ka"/>
        </w:rPr>
        <w:t xml:space="preserve"> </w:t>
      </w:r>
      <w:r>
        <w:rPr>
          <w:lang w:val="ka"/>
        </w:rPr>
        <w:t xml:space="preserve">გაზრდას (თერთმეტი რვის ნაცვლად), საბჭო, ერთხმად, ამ გაზრდაზე შეთანხმდება.“</w:t>
      </w:r>
    </w:p>
    <w:p>
      <w:pPr>
        <w:pStyle w:val="BlockText"/>
      </w:pPr>
      <w:r>
        <w:rPr>
          <w:i/>
          <w:iCs/>
          <w:lang w:val="ka"/>
        </w:rPr>
        <w:t xml:space="preserve">ორიგინალი:</w:t>
      </w:r>
      <w:r>
        <w:rPr>
          <w:lang w:val="ka"/>
        </w:rPr>
        <w:t xml:space="preserve"> </w:t>
      </w:r>
      <w:r>
        <w:rPr>
          <w:lang w:val="ka"/>
        </w:rPr>
        <w:t xml:space="preserve">„…if, in accordance with Article 252, first paragraph, of the Treaty on the Functioning of the European Union, the Court of Justice requests that the number of Advocates-General be increased by three (eleven instead of eight), the Council will, acting unanimously, agree on such an increase.“ —</w:t>
      </w:r>
      <w:r>
        <w:rPr>
          <w:lang w:val="ka"/>
        </w:rPr>
        <w:t xml:space="preserve"> </w:t>
      </w:r>
      <w:r>
        <w:rPr>
          <w:i/>
          <w:iCs/>
          <w:lang w:val="ka"/>
        </w:rPr>
        <w:t xml:space="preserve">დეკლარაცია №38, PDF გვ. 340</w:t>
      </w:r>
    </w:p>
    <w:p>
      <w:pPr>
        <w:pStyle w:val="FirstParagraph"/>
      </w:pPr>
      <w:r>
        <w:rPr>
          <w:b/>
          <w:bCs/>
          <w:lang w:val="ka"/>
        </w:rPr>
        <w:t xml:space="preserve">3. სასამართლომ მოითხოვა</w:t>
      </w:r>
      <w:r>
        <w:rPr>
          <w:lang w:val="ka"/>
        </w:rPr>
        <w:t xml:space="preserve"> </w:t>
      </w:r>
      <w:r>
        <w:rPr>
          <w:lang w:val="ka"/>
        </w:rPr>
        <w:t xml:space="preserve">(16.01.2013),</w:t>
      </w:r>
      <w:r>
        <w:rPr>
          <w:lang w:val="ka"/>
        </w:rPr>
        <w:t xml:space="preserve"> </w:t>
      </w:r>
      <w:r>
        <w:rPr>
          <w:b/>
          <w:bCs/>
          <w:lang w:val="ka"/>
        </w:rPr>
        <w:t xml:space="preserve">საბჭომ შეასრულა</w:t>
      </w:r>
      <w:r>
        <w:rPr>
          <w:lang w:val="ka"/>
        </w:rPr>
        <w:t xml:space="preserve"> </w:t>
      </w:r>
      <w:r>
        <w:rPr>
          <w:lang w:val="ka"/>
        </w:rPr>
        <w:t xml:space="preserve">— გადაწყვეტილება</w:t>
      </w:r>
      <w:r>
        <w:rPr>
          <w:lang w:val="ka"/>
        </w:rPr>
        <w:t xml:space="preserve"> </w:t>
      </w:r>
      <w:r>
        <w:rPr>
          <w:b/>
          <w:bCs/>
          <w:lang w:val="ka"/>
        </w:rPr>
        <w:t xml:space="preserve">2013/336/EU</w:t>
      </w:r>
      <w:r>
        <w:rPr>
          <w:lang w:val="ka"/>
        </w:rPr>
        <w:t xml:space="preserve">: ცხრა — 1.7.2013-იდან (ხორვატიის გაწევრიანება),</w:t>
      </w:r>
      <w:r>
        <w:rPr>
          <w:lang w:val="ka"/>
        </w:rPr>
        <w:t xml:space="preserve"> </w:t>
      </w:r>
      <w:r>
        <w:rPr>
          <w:b/>
          <w:bCs/>
          <w:lang w:val="ka"/>
        </w:rPr>
        <w:t xml:space="preserve">თერთმეტი — 7.10.2015-იდან</w:t>
      </w:r>
      <w:r>
        <w:rPr>
          <w:lang w:val="ka"/>
        </w:rPr>
        <w:t xml:space="preserve"> </w:t>
      </w:r>
      <w:r>
        <w:rPr>
          <w:lang w:val="ka"/>
        </w:rPr>
        <w:t xml:space="preserve">(მუხ. 1).</w:t>
      </w:r>
    </w:p>
    <w:p>
      <w:pPr>
        <w:pStyle w:val="BodyText"/>
      </w:pPr>
      <w:r>
        <w:rPr>
          <w:b/>
          <w:bCs/>
          <w:lang w:val="ka"/>
        </w:rPr>
        <w:t xml:space="preserve">4. ხუთი მუდმივი ადგილი</w:t>
      </w:r>
      <w:r>
        <w:rPr>
          <w:lang w:val="ka"/>
        </w:rPr>
        <w:t xml:space="preserve"> </w:t>
      </w:r>
      <w:r>
        <w:rPr>
          <w:lang w:val="ka"/>
        </w:rPr>
        <w:t xml:space="preserve">— ისევ დეკლარაცია №38: „Poland will,</w:t>
      </w:r>
      <w:r>
        <w:rPr>
          <w:lang w:val="ka"/>
        </w:rPr>
        <w:t xml:space="preserve"> </w:t>
      </w:r>
      <w:r>
        <w:rPr>
          <w:b/>
          <w:bCs/>
          <w:lang w:val="ka"/>
        </w:rPr>
        <w:t xml:space="preserve">as is already the case for Germany, France, Italy, Spain and the United Kingdom</w:t>
      </w:r>
      <w:r>
        <w:rPr>
          <w:lang w:val="ka"/>
        </w:rPr>
        <w:t xml:space="preserve">, have a permanent Advocate-General“; დანარჩენებს შორის — როტაცია. ბრექსიტის შემდეგ: გერმანია, საფრანგეთი, იტალია, ესპანეთი,</w:t>
      </w:r>
      <w:r>
        <w:rPr>
          <w:lang w:val="ka"/>
        </w:rPr>
        <w:t xml:space="preserve"> </w:t>
      </w:r>
      <w:r>
        <w:rPr>
          <w:b/>
          <w:bCs/>
          <w:lang w:val="ka"/>
        </w:rPr>
        <w:t xml:space="preserve">პოლონეთი</w:t>
      </w:r>
      <w:r>
        <w:rPr>
          <w:lang w:val="ka"/>
        </w:rPr>
        <w:t xml:space="preserve">. ⚠️ გაბრიჩიძე (სქოლ. 71) პოლონეთს</w:t>
      </w:r>
      <w:r>
        <w:rPr>
          <w:lang w:val="ka"/>
        </w:rPr>
        <w:t xml:space="preserve"> </w:t>
      </w:r>
      <w:r>
        <w:rPr>
          <w:b/>
          <w:bCs/>
          <w:lang w:val="ka"/>
        </w:rPr>
        <w:t xml:space="preserve">არ</w:t>
      </w:r>
      <w:r>
        <w:rPr>
          <w:lang w:val="ka"/>
        </w:rPr>
        <w:t xml:space="preserve"> </w:t>
      </w:r>
      <w:r>
        <w:rPr>
          <w:lang w:val="ka"/>
        </w:rPr>
        <w:t xml:space="preserve">ასახელებს.</w:t>
      </w:r>
    </w:p>
    <w:p>
      <w:pPr>
        <w:pStyle w:val="BlockText"/>
      </w:pPr>
      <w:r>
        <w:rPr>
          <w:lang w:val="ka"/>
        </w:rPr>
        <w:t xml:space="preserve">✅</w:t>
      </w:r>
      <w:r>
        <w:rPr>
          <w:lang w:val="ka"/>
        </w:rPr>
        <w:t xml:space="preserve"> </w:t>
      </w:r>
      <w:r>
        <w:rPr>
          <w:b/>
          <w:bCs/>
          <w:lang w:val="ka"/>
        </w:rPr>
        <w:t xml:space="preserve">პასუხი:</w:t>
      </w:r>
      <w:r>
        <w:rPr>
          <w:lang w:val="ka"/>
        </w:rPr>
        <w:t xml:space="preserve"> </w:t>
      </w:r>
      <w:r>
        <w:rPr>
          <w:lang w:val="ka"/>
        </w:rPr>
        <w:t xml:space="preserve">ხელშეკრულება</w:t>
      </w:r>
      <w:r>
        <w:rPr>
          <w:lang w:val="ka"/>
        </w:rPr>
        <w:t xml:space="preserve"> </w:t>
      </w:r>
      <w:r>
        <w:rPr>
          <w:b/>
          <w:bCs/>
          <w:lang w:val="ka"/>
        </w:rPr>
        <w:t xml:space="preserve">არ</w:t>
      </w:r>
      <w:r>
        <w:rPr>
          <w:lang w:val="ka"/>
        </w:rPr>
        <w:t xml:space="preserve"> </w:t>
      </w:r>
      <w:r>
        <w:rPr>
          <w:lang w:val="ka"/>
        </w:rPr>
        <w:t xml:space="preserve">ირღვევა — ის თავად აძლევს საბჭოს რიცხვის გაზრდის უფლებას.</w:t>
      </w:r>
      <w:r>
        <w:rPr>
          <w:lang w:val="ka"/>
        </w:rPr>
        <w:t xml:space="preserve"> </w:t>
      </w:r>
      <w:r>
        <w:rPr>
          <w:b/>
          <w:bCs/>
          <w:lang w:val="ka"/>
        </w:rPr>
        <w:t xml:space="preserve">მეთოდოლოგიური გაკვეთილი:</w:t>
      </w:r>
      <w:r>
        <w:rPr>
          <w:lang w:val="ka"/>
        </w:rPr>
        <w:t xml:space="preserve"> </w:t>
      </w:r>
      <w:r>
        <w:rPr>
          <w:lang w:val="ka"/>
        </w:rPr>
        <w:t xml:space="preserve">სამართლის</w:t>
      </w:r>
      <w:r>
        <w:rPr>
          <w:lang w:val="ka"/>
        </w:rPr>
        <w:t xml:space="preserve"> </w:t>
      </w:r>
      <w:r>
        <w:rPr>
          <w:b/>
          <w:bCs/>
          <w:lang w:val="ka"/>
        </w:rPr>
        <w:t xml:space="preserve">სამი დონე</w:t>
      </w:r>
      <w:r>
        <w:rPr>
          <w:lang w:val="ka"/>
        </w:rPr>
        <w:t xml:space="preserve"> </w:t>
      </w:r>
      <w:r>
        <w:rPr>
          <w:lang w:val="ka"/>
        </w:rPr>
        <w:t xml:space="preserve">— ხელშეკრულების მუხლი (რვა + გაზრდის უფლება) →</w:t>
      </w:r>
      <w:r>
        <w:rPr>
          <w:lang w:val="ka"/>
        </w:rPr>
        <w:t xml:space="preserve"> </w:t>
      </w:r>
      <w:r>
        <w:rPr>
          <w:b/>
          <w:bCs/>
          <w:lang w:val="ka"/>
        </w:rPr>
        <w:t xml:space="preserve">დეკლარაცია</w:t>
      </w:r>
      <w:r>
        <w:rPr>
          <w:lang w:val="ka"/>
        </w:rPr>
        <w:t xml:space="preserve"> </w:t>
      </w:r>
      <w:r>
        <w:rPr>
          <w:lang w:val="ka"/>
        </w:rPr>
        <w:t xml:space="preserve">(პოლიტიკური დაპირება, სავალდებულო არ არის) →</w:t>
      </w:r>
      <w:r>
        <w:rPr>
          <w:lang w:val="ka"/>
        </w:rPr>
        <w:t xml:space="preserve"> </w:t>
      </w:r>
      <w:r>
        <w:rPr>
          <w:b/>
          <w:bCs/>
          <w:lang w:val="ka"/>
        </w:rPr>
        <w:t xml:space="preserve">საბჭოს გადაწყვეტილება</w:t>
      </w:r>
      <w:r>
        <w:rPr>
          <w:lang w:val="ka"/>
        </w:rPr>
        <w:t xml:space="preserve"> </w:t>
      </w:r>
      <w:r>
        <w:rPr>
          <w:lang w:val="ka"/>
        </w:rPr>
        <w:t xml:space="preserve">(თერთმეტი). პასუხი ხშირად</w:t>
      </w:r>
      <w:r>
        <w:rPr>
          <w:lang w:val="ka"/>
        </w:rPr>
        <w:t xml:space="preserve"> </w:t>
      </w:r>
      <w:r>
        <w:rPr>
          <w:b/>
          <w:bCs/>
          <w:lang w:val="ka"/>
        </w:rPr>
        <w:t xml:space="preserve">მეორე და მესამე</w:t>
      </w:r>
      <w:r>
        <w:rPr>
          <w:lang w:val="ka"/>
        </w:rPr>
        <w:t xml:space="preserve"> </w:t>
      </w:r>
      <w:r>
        <w:rPr>
          <w:lang w:val="ka"/>
        </w:rPr>
        <w:t xml:space="preserve">დონეზეა.</w:t>
      </w:r>
    </w:p>
    <w:bookmarkEnd w:id="24"/>
    <w:p>
      <w:r>
        <w:pict>
          <v:rect style="width:0;height:1.5pt" o:hralign="center" o:hrstd="t" o:hr="t"/>
        </w:pict>
      </w:r>
    </w:p>
    <w:bookmarkStart w:id="25" w:name="გადამოწმების-კითხვები"/>
    <w:p>
      <w:pPr>
        <w:pStyle w:val="Heading1"/>
      </w:pPr>
      <w:r>
        <w:rPr>
          <w:lang w:val="ka"/>
        </w:rPr>
        <w:t xml:space="preserve">გადამოწმების კითხვები</w:t>
      </w:r>
    </w:p>
    <w:p>
      <w:pPr>
        <w:pStyle w:val="Compact"/>
        <w:numPr>
          <w:ilvl w:val="0"/>
          <w:numId w:val="1004"/>
        </w:numPr>
      </w:pPr>
      <w:r>
        <w:rPr>
          <w:lang w:val="ka"/>
        </w:rPr>
        <w:t xml:space="preserve">რა განსხვავებაა „ევროკავშირის სასამართლოსა“ და „მართლმსაჯულების სასამართლოს“ შორის? რა ერქვა საერთო სასამართლოს ლისაბონამდე?</w:t>
      </w:r>
    </w:p>
    <w:p>
      <w:pPr>
        <w:pStyle w:val="Compact"/>
        <w:numPr>
          <w:ilvl w:val="0"/>
          <w:numId w:val="1004"/>
        </w:numPr>
      </w:pPr>
      <w:r>
        <w:rPr>
          <w:lang w:val="ka"/>
        </w:rPr>
        <w:t xml:space="preserve">ვინ ნიშნავს მოსამართლეებს, რა ვადით და რა როლი აქვს 255-ე მუხლის კომიტეტს?</w:t>
      </w:r>
    </w:p>
    <w:p>
      <w:pPr>
        <w:pStyle w:val="Compact"/>
        <w:numPr>
          <w:ilvl w:val="0"/>
          <w:numId w:val="1004"/>
        </w:numPr>
      </w:pPr>
      <w:r>
        <w:rPr>
          <w:lang w:val="ka"/>
        </w:rPr>
        <w:t xml:space="preserve">რას აკეთებს გენერალური ადვოკატი და ბოჭავს თუ არა მისი დასკვნა სასამართლოს?</w:t>
      </w:r>
    </w:p>
    <w:p>
      <w:pPr>
        <w:pStyle w:val="Compact"/>
        <w:numPr>
          <w:ilvl w:val="0"/>
          <w:numId w:val="1004"/>
        </w:numPr>
      </w:pPr>
      <w:r>
        <w:rPr>
          <w:lang w:val="ka"/>
        </w:rPr>
        <w:t xml:space="preserve">დაასახელეთ ორი სარჩელი, რომელიც</w:t>
      </w:r>
      <w:r>
        <w:rPr>
          <w:lang w:val="ka"/>
        </w:rPr>
        <w:t xml:space="preserve"> </w:t>
      </w:r>
      <w:r>
        <w:rPr>
          <w:b/>
          <w:bCs/>
          <w:lang w:val="ka"/>
        </w:rPr>
        <w:t xml:space="preserve">მხოლოდ</w:t>
      </w:r>
      <w:r>
        <w:rPr>
          <w:lang w:val="ka"/>
        </w:rPr>
        <w:t xml:space="preserve"> </w:t>
      </w:r>
      <w:r>
        <w:rPr>
          <w:lang w:val="ka"/>
        </w:rPr>
        <w:t xml:space="preserve">მართლმსაჯულების სასამართლოში განიხილება, და ორი, რომელიც საერთოში იწყება.</w:t>
      </w:r>
    </w:p>
    <w:p>
      <w:pPr>
        <w:pStyle w:val="Compact"/>
        <w:numPr>
          <w:ilvl w:val="0"/>
          <w:numId w:val="1004"/>
        </w:numPr>
      </w:pPr>
      <w:r>
        <w:rPr>
          <w:lang w:val="ka"/>
        </w:rPr>
        <w:t xml:space="preserve">რა შეიცვალა 2024 წელს წინასწარი გადაწყვეტილებების პროცედურაში?</w:t>
      </w:r>
    </w:p>
    <w:p>
      <w:pPr>
        <w:pStyle w:val="Compact"/>
        <w:numPr>
          <w:ilvl w:val="0"/>
          <w:numId w:val="1004"/>
        </w:numPr>
      </w:pPr>
      <w:r>
        <w:rPr>
          <w:lang w:val="ka"/>
        </w:rPr>
        <w:t xml:space="preserve">რომელ სფეროში არ აქვს სასამართლოს იურისდიქცია და რა გამონაკლისებს უშვებს TFEU 275?</w:t>
      </w:r>
    </w:p>
    <w:p>
      <w:pPr>
        <w:pStyle w:val="Compact"/>
        <w:numPr>
          <w:ilvl w:val="0"/>
          <w:numId w:val="1004"/>
        </w:numPr>
      </w:pPr>
      <w:r>
        <w:rPr>
          <w:lang w:val="ka"/>
        </w:rPr>
        <w:t xml:space="preserve">რით გამოირჩევა ECB სხვა ორგანოებისგან? რა განსხვავებაა ESCB-სა და ევროსისტემას შორის?</w:t>
      </w:r>
    </w:p>
    <w:p>
      <w:pPr>
        <w:pStyle w:val="Compact"/>
        <w:numPr>
          <w:ilvl w:val="0"/>
          <w:numId w:val="1004"/>
        </w:numPr>
      </w:pPr>
      <w:r>
        <w:rPr>
          <w:lang w:val="ka"/>
        </w:rPr>
        <w:t xml:space="preserve">რატომ არის აუდიტორთა სასამართლო „სასამართლო“ და რატომ არა?</w:t>
      </w:r>
    </w:p>
    <w:p>
      <w:pPr>
        <w:pStyle w:val="Compact"/>
        <w:numPr>
          <w:ilvl w:val="0"/>
          <w:numId w:val="1004"/>
        </w:numPr>
      </w:pPr>
      <w:r>
        <w:rPr>
          <w:lang w:val="ka"/>
        </w:rPr>
        <w:t xml:space="preserve">საკონსულტაციო კომიტეტის აზრი არ ბოჭავს. როდის ხდება მისი უგულებელყოფა აქტის ბათილობის საფუძველი?</w:t>
      </w:r>
    </w:p>
    <w:p>
      <w:pPr>
        <w:pStyle w:val="Compact"/>
        <w:numPr>
          <w:ilvl w:val="0"/>
          <w:numId w:val="1004"/>
        </w:numPr>
      </w:pPr>
      <w:r>
        <w:rPr>
          <w:lang w:val="ka"/>
        </w:rPr>
        <w:t xml:space="preserve">რა თქვა სასამართლომ</w:t>
      </w:r>
      <w:r>
        <w:rPr>
          <w:lang w:val="ka"/>
        </w:rPr>
        <w:t xml:space="preserve"> </w:t>
      </w:r>
      <w:r>
        <w:rPr>
          <w:i/>
          <w:iCs/>
          <w:lang w:val="ka"/>
        </w:rPr>
        <w:t xml:space="preserve">Meroni</w:t>
      </w:r>
      <w:r>
        <w:rPr>
          <w:lang w:val="ka"/>
        </w:rPr>
        <w:t xml:space="preserve">-ში ძალაუფლების დელეგირებაზე?</w:t>
      </w:r>
    </w:p>
    <w:p>
      <w:pPr>
        <w:pStyle w:val="Compact"/>
        <w:numPr>
          <w:ilvl w:val="0"/>
          <w:numId w:val="1004"/>
        </w:numPr>
      </w:pPr>
      <w:r>
        <w:rPr>
          <w:lang w:val="ka"/>
        </w:rPr>
        <w:t xml:space="preserve">რას ნიშნავს ინსტიტუციური წონასწორობა (</w:t>
      </w:r>
      <w:r>
        <w:rPr>
          <w:i/>
          <w:iCs/>
          <w:lang w:val="ka"/>
        </w:rPr>
        <w:t xml:space="preserve">Chernobyl</w:t>
      </w:r>
      <w:r>
        <w:rPr>
          <w:lang w:val="ka"/>
        </w:rPr>
        <w:t xml:space="preserve">, პარ. 22) და რატომ ამბობს გაბრიჩიძე, რომ მისი წყარო სასამართლოა?</w:t>
      </w:r>
    </w:p>
    <w:p>
      <w:pPr>
        <w:pStyle w:val="Compact"/>
        <w:numPr>
          <w:ilvl w:val="0"/>
          <w:numId w:val="1004"/>
        </w:numPr>
      </w:pPr>
      <w:r>
        <w:rPr>
          <w:lang w:val="ka"/>
        </w:rPr>
        <w:t xml:space="preserve">რატომ ჰყავს სასამართლოს 11 გენერალური ადვოკატი, თუ TFEU 252 „რვას“ ამბობს?</w:t>
      </w:r>
    </w:p>
    <w:p>
      <w:r>
        <w:pict>
          <v:rect style="width:0;height:1.5pt" o:hralign="center" o:hrstd="t" o:hr="t"/>
        </w:pict>
      </w:r>
    </w:p>
    <w:bookmarkEnd w:id="25"/>
    <w:bookmarkStart w:id="26" w:name="წყაროები"/>
    <w:p>
      <w:pPr>
        <w:pStyle w:val="Heading1"/>
      </w:pPr>
      <w:r>
        <w:rPr>
          <w:lang w:val="ka"/>
        </w:rPr>
        <w:t xml:space="preserve">წყაროები</w:t>
      </w:r>
    </w:p>
    <w:p>
      <w:pPr>
        <w:pStyle w:val="FirstParagraph"/>
      </w:pPr>
      <w:r>
        <w:rPr>
          <w:b/>
          <w:bCs/>
          <w:lang w:val="ka"/>
        </w:rPr>
        <w:t xml:space="preserve">პირველწყაროები (ღია, ოფიციალური):</w:t>
      </w:r>
    </w:p>
    <w:p>
      <w:pPr>
        <w:pStyle w:val="Compact"/>
        <w:numPr>
          <w:ilvl w:val="0"/>
          <w:numId w:val="1005"/>
        </w:numPr>
      </w:pPr>
      <w:r>
        <w:rPr>
          <w:lang w:val="ka"/>
        </w:rPr>
        <w:t xml:space="preserve">TEU / TFEU — consolidated versions (EUR-Lex CELEX 02016ME/TXT-20250315, consolidated</w:t>
      </w:r>
      <w:r>
        <w:rPr>
          <w:lang w:val="ka"/>
        </w:rPr>
        <w:t xml:space="preserve"> </w:t>
      </w:r>
      <w:r>
        <w:rPr>
          <w:b/>
          <w:bCs/>
          <w:lang w:val="ka"/>
        </w:rPr>
        <w:t xml:space="preserve">15.03.2025</w:t>
      </w:r>
      <w:r>
        <w:rPr>
          <w:lang w:val="ka"/>
        </w:rPr>
        <w:t xml:space="preserve">) — TEU მუხ. 13, 19, 24, 40, 47; TFEU მუხ. 86, 127–128, 251–287, 300–309; ოქმი №2 (მუხ. 8), №3 (სასამართლოს სტატუტი), №4 (მუხ. 44), №6; დეკლარაცია №38.</w:t>
      </w:r>
    </w:p>
    <w:p>
      <w:pPr>
        <w:pStyle w:val="Compact"/>
        <w:numPr>
          <w:ilvl w:val="0"/>
          <w:numId w:val="1005"/>
        </w:numPr>
      </w:pPr>
      <w:r>
        <w:rPr>
          <w:lang w:val="ka"/>
        </w:rPr>
        <w:t xml:space="preserve">Treaty establishing the European Economic Community (1957), Art. 164, 173 (CELEX 11957E164, 11957E173); Treaty on European Union (Maastricht), Art. G(53) (OJ C 191, 29.7.1992); Treaty of Nice, Art. 2(34) (OJ C 80, 10.3.2001).</w:t>
      </w:r>
    </w:p>
    <w:p>
      <w:pPr>
        <w:pStyle w:val="Compact"/>
        <w:numPr>
          <w:ilvl w:val="0"/>
          <w:numId w:val="1005"/>
        </w:numPr>
      </w:pPr>
      <w:r>
        <w:rPr>
          <w:lang w:val="ka"/>
        </w:rPr>
        <w:t xml:space="preserve">CJEU, Case 9/56,</w:t>
      </w:r>
      <w:r>
        <w:rPr>
          <w:lang w:val="ka"/>
        </w:rPr>
        <w:t xml:space="preserve"> </w:t>
      </w:r>
      <w:r>
        <w:rPr>
          <w:i/>
          <w:iCs/>
          <w:lang w:val="ka"/>
        </w:rPr>
        <w:t xml:space="preserve">Meroni &amp; Co. v High Authority</w:t>
      </w:r>
      <w:r>
        <w:rPr>
          <w:lang w:val="ka"/>
        </w:rPr>
        <w:t xml:space="preserve">, 13 June 1958, ECLI:EU:C:1958:7.</w:t>
      </w:r>
    </w:p>
    <w:p>
      <w:pPr>
        <w:pStyle w:val="Compact"/>
        <w:numPr>
          <w:ilvl w:val="0"/>
          <w:numId w:val="1005"/>
        </w:numPr>
      </w:pPr>
      <w:r>
        <w:rPr>
          <w:lang w:val="ka"/>
        </w:rPr>
        <w:t xml:space="preserve">CJEU, Case 294/83,</w:t>
      </w:r>
      <w:r>
        <w:rPr>
          <w:lang w:val="ka"/>
        </w:rPr>
        <w:t xml:space="preserve"> </w:t>
      </w:r>
      <w:r>
        <w:rPr>
          <w:i/>
          <w:iCs/>
          <w:lang w:val="ka"/>
        </w:rPr>
        <w:t xml:space="preserve">Parti écologiste „Les Verts“ v European Parliament</w:t>
      </w:r>
      <w:r>
        <w:rPr>
          <w:lang w:val="ka"/>
        </w:rPr>
        <w:t xml:space="preserve">, 23 April 1986, ECLI:EU:C:1986:166.</w:t>
      </w:r>
    </w:p>
    <w:p>
      <w:pPr>
        <w:pStyle w:val="Compact"/>
        <w:numPr>
          <w:ilvl w:val="0"/>
          <w:numId w:val="1005"/>
        </w:numPr>
      </w:pPr>
      <w:r>
        <w:rPr>
          <w:lang w:val="ka"/>
        </w:rPr>
        <w:t xml:space="preserve">CJEU, Case C-70/88,</w:t>
      </w:r>
      <w:r>
        <w:rPr>
          <w:lang w:val="ka"/>
        </w:rPr>
        <w:t xml:space="preserve"> </w:t>
      </w:r>
      <w:r>
        <w:rPr>
          <w:i/>
          <w:iCs/>
          <w:lang w:val="ka"/>
        </w:rPr>
        <w:t xml:space="preserve">European Parliament v Council</w:t>
      </w:r>
      <w:r>
        <w:rPr>
          <w:lang w:val="ka"/>
        </w:rPr>
        <w:t xml:space="preserve"> </w:t>
      </w:r>
      <w:r>
        <w:rPr>
          <w:lang w:val="ka"/>
        </w:rPr>
        <w:t xml:space="preserve">(„Chernobyl“), 22 May 1990, ECLI:EU:C:1990:217.</w:t>
      </w:r>
    </w:p>
    <w:p>
      <w:pPr>
        <w:pStyle w:val="Compact"/>
        <w:numPr>
          <w:ilvl w:val="0"/>
          <w:numId w:val="1005"/>
        </w:numPr>
      </w:pPr>
      <w:r>
        <w:rPr>
          <w:lang w:val="ka"/>
        </w:rPr>
        <w:t xml:space="preserve">Council Decision 88/591/ECSC, EEC, Euratom of 24 October 1988 establishing a Court of First Instance.</w:t>
      </w:r>
    </w:p>
    <w:p>
      <w:pPr>
        <w:pStyle w:val="Compact"/>
        <w:numPr>
          <w:ilvl w:val="0"/>
          <w:numId w:val="1005"/>
        </w:numPr>
      </w:pPr>
      <w:r>
        <w:rPr>
          <w:lang w:val="ka"/>
        </w:rPr>
        <w:t xml:space="preserve">Council Decision 2004/752/EC, Euratom of 2 November 2004 establishing the European Union Civil Service Tribunal.</w:t>
      </w:r>
    </w:p>
    <w:p>
      <w:pPr>
        <w:pStyle w:val="Compact"/>
        <w:numPr>
          <w:ilvl w:val="0"/>
          <w:numId w:val="1005"/>
        </w:numPr>
      </w:pPr>
      <w:r>
        <w:rPr>
          <w:lang w:val="ka"/>
        </w:rPr>
        <w:t xml:space="preserve">Council Decision 2013/336/EU of 25 June 2013 increasing the number of Advocates-General (OJ L 179, 29.6.2013, p. 92).</w:t>
      </w:r>
    </w:p>
    <w:p>
      <w:pPr>
        <w:pStyle w:val="Compact"/>
        <w:numPr>
          <w:ilvl w:val="0"/>
          <w:numId w:val="1005"/>
        </w:numPr>
      </w:pPr>
      <w:r>
        <w:rPr>
          <w:lang w:val="ka"/>
        </w:rPr>
        <w:t xml:space="preserve">Regulation (EU, Euratom) 2015/2422 of 16 December 2015 amending Protocol No 3 (OJ L 341, 24.12.2015, p. 14).</w:t>
      </w:r>
    </w:p>
    <w:p>
      <w:pPr>
        <w:pStyle w:val="Compact"/>
        <w:numPr>
          <w:ilvl w:val="0"/>
          <w:numId w:val="1005"/>
        </w:numPr>
      </w:pPr>
      <w:r>
        <w:rPr>
          <w:lang w:val="ka"/>
        </w:rPr>
        <w:t xml:space="preserve">Regulation (EU, Euratom) 2016/1192 of 6 July 2016 on the transfer to the General Court of jurisdiction in staff disputes (OJ L 200, 26.7.2016).</w:t>
      </w:r>
    </w:p>
    <w:p>
      <w:pPr>
        <w:pStyle w:val="Compact"/>
        <w:numPr>
          <w:ilvl w:val="0"/>
          <w:numId w:val="1005"/>
        </w:numPr>
      </w:pPr>
      <w:r>
        <w:rPr>
          <w:lang w:val="ka"/>
        </w:rPr>
        <w:t xml:space="preserve">Regulation (EU, Euratom) 2024/2019 of 11 April 2024 amending Protocol No 3 (OJ L, 12.8.2024).</w:t>
      </w:r>
    </w:p>
    <w:p>
      <w:pPr>
        <w:pStyle w:val="Compact"/>
        <w:numPr>
          <w:ilvl w:val="0"/>
          <w:numId w:val="1005"/>
        </w:numPr>
      </w:pPr>
      <w:r>
        <w:rPr>
          <w:lang w:val="ka"/>
        </w:rPr>
        <w:t xml:space="preserve">Council Decisions (EU) 2019/853 and 2019/852 of 21 May 2019 determining the composition of the EESC and of the Committee of the Regions (OJ L 139, 27.5.2019).</w:t>
      </w:r>
    </w:p>
    <w:p>
      <w:pPr>
        <w:pStyle w:val="Compact"/>
        <w:numPr>
          <w:ilvl w:val="0"/>
          <w:numId w:val="1005"/>
        </w:numPr>
      </w:pPr>
      <w:r>
        <w:rPr>
          <w:lang w:val="ka"/>
        </w:rPr>
        <w:t xml:space="preserve">Council Decision (EU) 2025/1407 of 8 July 2025 on the adoption by Bulgaria of the euro on 1 January 2026 (OJ L, 14.7.2025).</w:t>
      </w:r>
    </w:p>
    <w:p>
      <w:pPr>
        <w:pStyle w:val="Compact"/>
        <w:numPr>
          <w:ilvl w:val="0"/>
          <w:numId w:val="1005"/>
        </w:numPr>
      </w:pPr>
      <w:r>
        <w:rPr>
          <w:lang w:val="ka"/>
        </w:rPr>
        <w:t xml:space="preserve">Council Regulation (EU) 2017/1939 of 12 October 2017 (EPPO).</w:t>
      </w:r>
    </w:p>
    <w:p>
      <w:pPr>
        <w:pStyle w:val="FirstParagraph"/>
      </w:pPr>
      <w:r>
        <w:rPr>
          <w:b/>
          <w:bCs/>
          <w:lang w:val="ka"/>
        </w:rPr>
        <w:t xml:space="preserve">ღია სახელმძღვანელო:</w:t>
      </w:r>
    </w:p>
    <w:p>
      <w:pPr>
        <w:pStyle w:val="Compact"/>
        <w:numPr>
          <w:ilvl w:val="0"/>
          <w:numId w:val="1006"/>
        </w:numPr>
      </w:pPr>
      <w:r>
        <w:rPr>
          <w:lang w:val="ka"/>
        </w:rPr>
        <w:t xml:space="preserve">K.-D. Borchardt,</w:t>
      </w:r>
      <w:r>
        <w:rPr>
          <w:lang w:val="ka"/>
        </w:rPr>
        <w:t xml:space="preserve"> </w:t>
      </w:r>
      <w:r>
        <w:rPr>
          <w:i/>
          <w:iCs/>
          <w:lang w:val="ka"/>
        </w:rPr>
        <w:t xml:space="preserve">The ABC of EU Law</w:t>
      </w:r>
      <w:r>
        <w:rPr>
          <w:lang w:val="ka"/>
        </w:rPr>
        <w:t xml:space="preserve"> </w:t>
      </w:r>
      <w:r>
        <w:rPr>
          <w:lang w:val="ka"/>
        </w:rPr>
        <w:t xml:space="preserve">(European Commission, 2023), doi:10.2775/745544 — CC BY 4.0.</w:t>
      </w:r>
    </w:p>
    <w:p>
      <w:pPr>
        <w:pStyle w:val="FirstParagraph"/>
      </w:pPr>
      <w:r>
        <w:rPr>
          <w:b/>
          <w:bCs/>
          <w:lang w:val="ka"/>
        </w:rPr>
        <w:t xml:space="preserve">სილაბუსის ლიტერატურა</w:t>
      </w:r>
      <w:r>
        <w:rPr>
          <w:lang w:val="ka"/>
        </w:rPr>
        <w:t xml:space="preserve"> </w:t>
      </w:r>
      <w:r>
        <w:rPr>
          <w:i/>
          <w:iCs/>
          <w:lang w:val="ka"/>
        </w:rPr>
        <w:t xml:space="preserve">(საავტორო უფლებით დაცული — ხელმისაწვდომია ბიბლიოთეკაში)</w:t>
      </w:r>
      <w:r>
        <w:rPr>
          <w:lang w:val="ka"/>
        </w:rPr>
        <w:t xml:space="preserve">:</w:t>
      </w:r>
    </w:p>
    <w:p>
      <w:pPr>
        <w:pStyle w:val="Compact"/>
        <w:numPr>
          <w:ilvl w:val="0"/>
          <w:numId w:val="1007"/>
        </w:numPr>
      </w:pPr>
      <w:r>
        <w:rPr>
          <w:lang w:val="ka"/>
        </w:rPr>
        <w:t xml:space="preserve">გ. გაბრიჩიძე,</w:t>
      </w:r>
      <w:r>
        <w:rPr>
          <w:lang w:val="ka"/>
        </w:rPr>
        <w:t xml:space="preserve"> </w:t>
      </w:r>
      <w:r>
        <w:rPr>
          <w:i/>
          <w:iCs/>
          <w:lang w:val="ka"/>
        </w:rPr>
        <w:t xml:space="preserve">ევროპის კავშირის სამართალი</w:t>
      </w:r>
      <w:r>
        <w:rPr>
          <w:lang w:val="ka"/>
        </w:rPr>
        <w:t xml:space="preserve">, მე-2 გამოცემა (2023), გვ. 68–85 (თავი V.I.9–11, V.II–IV).</w:t>
      </w:r>
    </w:p>
    <w:p>
      <w:pPr>
        <w:pStyle w:val="Compact"/>
        <w:numPr>
          <w:ilvl w:val="0"/>
          <w:numId w:val="1007"/>
        </w:numPr>
      </w:pPr>
      <w:r>
        <w:rPr>
          <w:lang w:val="ka"/>
        </w:rPr>
        <w:t xml:space="preserve">გ. მირიანაშვილი,</w:t>
      </w:r>
      <w:r>
        <w:rPr>
          <w:lang w:val="ka"/>
        </w:rPr>
        <w:t xml:space="preserve"> </w:t>
      </w:r>
      <w:r>
        <w:rPr>
          <w:i/>
          <w:iCs/>
          <w:lang w:val="ka"/>
        </w:rPr>
        <w:t xml:space="preserve">ევროპის კავშირის სამართალი</w:t>
      </w:r>
      <w:r>
        <w:rPr>
          <w:lang w:val="ka"/>
        </w:rPr>
        <w:t xml:space="preserve">, ნაწილი I (2022) (რეკომენდებული).</w:t>
      </w:r>
    </w:p>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k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glossary" TargetMode="External" /></Relationships>
</file>

<file path=word/_rels/footnotes.xml.rels><?xml version="1.0" encoding="UTF-8"?><Relationships xmlns="http://schemas.openxmlformats.org/package/2006/relationships"><Relationship Type="http://schemas.openxmlformats.org/officeDocument/2006/relationships/hyperlink" Id="rId9" Target="/glossar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ვინ დარაჯობს დარაჯებს?</dc:title>
  <dc:creator>გიორგი კობერიძე · ილიას სახელმწიფო უნივერსიტეტი</dc:creator>
  <dc:language>ka</dc:language>
  <cp:keywords/>
  <dcterms:created xsi:type="dcterms:W3CDTF">2026-10-23T14:09:46Z</dcterms:created>
  <dcterms:modified xsi:type="dcterms:W3CDTF">2026-10-23T14:09:46Z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ევროკავშირის სამართალი · კვირა 5 · დარიგება — ევროკავშირის სასამართლო და სხვა ორგანოები</vt:lpwstr>
  </property>
</Properties>
</file>