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ka"/>
        </w:rPr>
        <w:t xml:space="preserve">ორი კანონმდებელი, ერთი ინიციატორი</w:t>
      </w:r>
    </w:p>
    <w:p>
      <w:pPr>
        <w:pStyle w:val="Subtitle"/>
      </w:pPr>
      <w:r>
        <w:rPr>
          <w:lang w:val="ka"/>
        </w:rPr>
        <w:t xml:space="preserve">ევროკავშირის სამართალი · კვირა 4 · დარიგება — საკანონმდებლო და აღმასრულებელი ორგანოები; საკანონმდებლო პროცედურები</w:t>
      </w:r>
    </w:p>
    <w:p>
      <w:pPr>
        <w:pStyle w:val="Author"/>
      </w:pPr>
      <w:r>
        <w:rPr>
          <w:lang w:val="ka"/>
        </w:rPr>
        <w:t xml:space="preserve">გიორგი კობერიძე · ილიას სახელმწიფო უნივერსიტეტი</w:t>
      </w:r>
    </w:p>
    <w:p>
      <w:pPr>
        <w:pStyle w:val="BlockText"/>
      </w:pPr>
      <w:r>
        <w:rPr>
          <w:lang w:val="ka"/>
        </w:rPr>
        <w:t xml:space="preserve">📘</w:t>
      </w:r>
      <w:r>
        <w:rPr>
          <w:lang w:val="ka"/>
        </w:rPr>
        <w:t xml:space="preserve"> </w:t>
      </w:r>
      <w:r>
        <w:rPr>
          <w:b/>
          <w:bCs/>
          <w:lang w:val="ka"/>
        </w:rPr>
        <w:t xml:space="preserve">როგორ ვიმუშაოთ ამ კვირაში:</w:t>
      </w:r>
      <w:r>
        <w:rPr>
          <w:lang w:val="ka"/>
        </w:rPr>
        <w:t xml:space="preserve"> </w:t>
      </w:r>
      <w:r>
        <w:rPr>
          <w:lang w:val="ka"/>
        </w:rPr>
        <w:t xml:space="preserve">ორგანოების ცხრილები და კითხვა-პასუხი —</w:t>
      </w:r>
      <w:r>
        <w:rPr>
          <w:lang w:val="ka"/>
        </w:rPr>
        <w:t xml:space="preserve"> </w:t>
      </w:r>
      <w:r>
        <w:rPr>
          <w:b/>
          <w:bCs/>
          <w:lang w:val="ka"/>
        </w:rPr>
        <w:t xml:space="preserve">ამ გვერდის თავში</w:t>
      </w:r>
      <w:r>
        <w:rPr>
          <w:lang w:val="ka"/>
        </w:rPr>
        <w:t xml:space="preserve"> </w:t>
      </w:r>
      <w:r>
        <w:rPr>
          <w:lang w:val="ka"/>
        </w:rPr>
        <w:t xml:space="preserve">(„⚖️ შედარება“, „❓ კითხვა-პასუხი“). დარიგება ხსნის,</w:t>
      </w:r>
      <w:r>
        <w:rPr>
          <w:lang w:val="ka"/>
        </w:rPr>
        <w:t xml:space="preserve"> </w:t>
      </w:r>
      <w:r>
        <w:rPr>
          <w:b/>
          <w:bCs/>
          <w:lang w:val="ka"/>
        </w:rPr>
        <w:t xml:space="preserve">რატომ</w:t>
      </w:r>
      <w:r>
        <w:rPr>
          <w:lang w:val="ka"/>
        </w:rPr>
        <w:t xml:space="preserve"> </w:t>
      </w:r>
      <w:r>
        <w:rPr>
          <w:lang w:val="ka"/>
        </w:rPr>
        <w:t xml:space="preserve">არის ასე. ხელშეკრულების ციტატები — კონსოლიდირებული ტექსტიდან (15.03.2025), ჩვენი თარგმანით + ორიგინალი. ტერმინები — გაბრიჩიძე 2023-ის მიხედვით →</w:t>
      </w:r>
      <w:r>
        <w:rPr>
          <w:lang w:val="ka"/>
        </w:rPr>
        <w:t xml:space="preserve"> </w:t>
      </w:r>
      <w:hyperlink r:id="rId9">
        <w:r>
          <w:rPr>
            <w:rStyle w:val="Hyperlink"/>
            <w:lang w:val="ka"/>
          </w:rPr>
          <w:t xml:space="preserve">გლოსარი</w:t>
        </w:r>
      </w:hyperlink>
      <w:r>
        <w:rPr>
          <w:lang w:val="ka"/>
        </w:rPr>
        <w:t xml:space="preserve">.</w:t>
      </w:r>
    </w:p>
    <w:bookmarkStart w:id="10" w:name="X2d4c1f6dcc8ac98d4776ac2640d6bb904ee666a"/>
    <w:p>
      <w:pPr>
        <w:pStyle w:val="Heading1"/>
      </w:pPr>
      <w:r>
        <w:rPr>
          <w:lang w:val="ka"/>
        </w:rPr>
        <w:t xml:space="preserve">დასაწყისი: ხელშეკრულება ამბობს „ორი მესამედი“. კომისიაში კი 27 წევრია</w:t>
      </w:r>
    </w:p>
    <w:p>
      <w:pPr>
        <w:pStyle w:val="FirstParagraph"/>
      </w:pPr>
      <w:r>
        <w:rPr>
          <w:lang w:val="ka"/>
        </w:rPr>
        <w:t xml:space="preserve">გახსენით TEU მუხ. 17(5):</w:t>
      </w:r>
    </w:p>
    <w:p>
      <w:pPr>
        <w:pStyle w:val="BlockText"/>
      </w:pPr>
      <w:r>
        <w:rPr>
          <w:lang w:val="ka"/>
        </w:rPr>
        <w:t xml:space="preserve">„2014 წლის 1 ნოემბრიდან კომისია შედგება წევრთა იმ რაოდენობისგან, […] რომელიც წევრი სახელმწიფოების რაოდენობის</w:t>
      </w:r>
      <w:r>
        <w:rPr>
          <w:lang w:val="ka"/>
        </w:rPr>
        <w:t xml:space="preserve"> </w:t>
      </w:r>
      <w:r>
        <w:rPr>
          <w:b/>
          <w:bCs/>
          <w:lang w:val="ka"/>
        </w:rPr>
        <w:t xml:space="preserve">ორ მესამედს</w:t>
      </w:r>
      <w:r>
        <w:rPr>
          <w:lang w:val="ka"/>
        </w:rPr>
        <w:t xml:space="preserve"> </w:t>
      </w:r>
      <w:r>
        <w:rPr>
          <w:lang w:val="ka"/>
        </w:rPr>
        <w:t xml:space="preserve">შეესაბამება…“</w:t>
      </w:r>
    </w:p>
    <w:p>
      <w:pPr>
        <w:pStyle w:val="BlockText"/>
      </w:pPr>
      <w:r>
        <w:rPr>
          <w:i/>
          <w:iCs/>
          <w:lang w:val="ka"/>
        </w:rPr>
        <w:t xml:space="preserve">ორიგინალი:</w:t>
      </w:r>
      <w:r>
        <w:rPr>
          <w:lang w:val="ka"/>
        </w:rPr>
        <w:t xml:space="preserve"> </w:t>
      </w:r>
      <w:r>
        <w:rPr>
          <w:lang w:val="ka"/>
        </w:rPr>
        <w:t xml:space="preserve">„As from 1 November 2014, the Commission shall consist of a number of members, including its President and the High Representative of the Union for Foreign Affairs and Security Policy, corresponding to two thirds of the number of Member States…“</w:t>
      </w:r>
    </w:p>
    <w:p>
      <w:pPr>
        <w:pStyle w:val="BlockText"/>
      </w:pPr>
      <w:r>
        <w:rPr>
          <w:lang w:val="ka"/>
        </w:rPr>
        <w:t xml:space="preserve">—</w:t>
      </w:r>
      <w:r>
        <w:rPr>
          <w:lang w:val="ka"/>
        </w:rPr>
        <w:t xml:space="preserve"> </w:t>
      </w:r>
      <w:r>
        <w:rPr>
          <w:i/>
          <w:iCs/>
          <w:lang w:val="ka"/>
        </w:rPr>
        <w:t xml:space="preserve">TEU მუხ. 17(5), კონსოლიდ. 15.03.2025, PDF გვ. 24</w:t>
      </w:r>
    </w:p>
    <w:p>
      <w:pPr>
        <w:pStyle w:val="FirstParagraph"/>
      </w:pPr>
      <w:r>
        <w:rPr>
          <w:lang w:val="ka"/>
        </w:rPr>
        <w:t xml:space="preserve">27-ის ორი მესამედი —</w:t>
      </w:r>
      <w:r>
        <w:rPr>
          <w:lang w:val="ka"/>
        </w:rPr>
        <w:t xml:space="preserve"> </w:t>
      </w:r>
      <w:r>
        <w:rPr>
          <w:b/>
          <w:bCs/>
          <w:lang w:val="ka"/>
        </w:rPr>
        <w:t xml:space="preserve">18</w:t>
      </w:r>
      <w:r>
        <w:rPr>
          <w:lang w:val="ka"/>
        </w:rPr>
        <w:t xml:space="preserve">. 2026 წლის კომისიაში კი ყოველ სახელმწიფოს</w:t>
      </w:r>
      <w:r>
        <w:rPr>
          <w:lang w:val="ka"/>
        </w:rPr>
        <w:t xml:space="preserve"> </w:t>
      </w:r>
      <w:r>
        <w:rPr>
          <w:b/>
          <w:bCs/>
          <w:lang w:val="ka"/>
        </w:rPr>
        <w:t xml:space="preserve">თავისი</w:t>
      </w:r>
      <w:r>
        <w:rPr>
          <w:lang w:val="ka"/>
        </w:rPr>
        <w:t xml:space="preserve"> </w:t>
      </w:r>
      <w:r>
        <w:rPr>
          <w:lang w:val="ka"/>
        </w:rPr>
        <w:t xml:space="preserve">კომისარი ჰყავს — 27.</w:t>
      </w:r>
    </w:p>
    <w:p>
      <w:pPr>
        <w:pStyle w:val="BodyText"/>
      </w:pPr>
      <w:r>
        <w:rPr>
          <w:b/>
          <w:bCs/>
          <w:lang w:val="ka"/>
        </w:rPr>
        <w:t xml:space="preserve">კითხვა ლექციამდე:</w:t>
      </w:r>
      <w:r>
        <w:rPr>
          <w:lang w:val="ka"/>
        </w:rPr>
        <w:t xml:space="preserve"> </w:t>
      </w:r>
      <w:r>
        <w:rPr>
          <w:lang w:val="ka"/>
        </w:rPr>
        <w:t xml:space="preserve">ევროკავშირი ხელშეკრულებას არღვევს? თუ ხელშეკრულება შეიცვალა? თუ პასუხი იმავე პუნქტის</w:t>
      </w:r>
      <w:r>
        <w:rPr>
          <w:lang w:val="ka"/>
        </w:rPr>
        <w:t xml:space="preserve"> </w:t>
      </w:r>
      <w:r>
        <w:rPr>
          <w:b/>
          <w:bCs/>
          <w:lang w:val="ka"/>
        </w:rPr>
        <w:t xml:space="preserve">ბოლოშია</w:t>
      </w:r>
      <w:r>
        <w:rPr>
          <w:lang w:val="ka"/>
        </w:rPr>
        <w:t xml:space="preserve">?</w:t>
      </w:r>
    </w:p>
    <w:p>
      <w:pPr>
        <w:pStyle w:val="BodyText"/>
      </w:pPr>
      <w:r>
        <w:rPr>
          <w:i/>
          <w:iCs/>
          <w:lang w:val="ka"/>
        </w:rPr>
        <w:t xml:space="preserve">პასუხი — ამ დარიგების ბოლოს (🔓 სპოილერი). ჯერ თავად სცადეთ.</w:t>
      </w:r>
    </w:p>
    <w:p>
      <w:r>
        <w:pict>
          <v:rect style="width:0;height:1.5pt" o:hralign="center" o:hrstd="t" o:hr="t"/>
        </w:pict>
      </w:r>
    </w:p>
    <w:bookmarkEnd w:id="10"/>
    <w:bookmarkStart w:id="11" w:name="ხიდი-წინა-კვირიდან"/>
    <w:p>
      <w:pPr>
        <w:pStyle w:val="Heading1"/>
      </w:pPr>
      <w:r>
        <w:rPr>
          <w:lang w:val="ka"/>
        </w:rPr>
        <w:t xml:space="preserve">ხიდი წინა კვირიდან</w:t>
      </w:r>
    </w:p>
    <w:p>
      <w:pPr>
        <w:pStyle w:val="FirstParagraph"/>
      </w:pPr>
      <w:r>
        <w:rPr>
          <w:lang w:val="ka"/>
        </w:rPr>
        <w:t xml:space="preserve">კვირა 3-ში ოთხი ორგანო ერთ ცხრილში მოკლედ ვნახეთ:</w:t>
      </w:r>
      <w:r>
        <w:rPr>
          <w:lang w:val="ka"/>
        </w:rPr>
        <w:t xml:space="preserve"> </w:t>
      </w:r>
      <w:r>
        <w:rPr>
          <w:b/>
          <w:bCs/>
          <w:lang w:val="ka"/>
        </w:rPr>
        <w:t xml:space="preserve">ვინ</w:t>
      </w:r>
      <w:r>
        <w:rPr>
          <w:lang w:val="ka"/>
        </w:rPr>
        <w:t xml:space="preserve"> </w:t>
      </w:r>
      <w:r>
        <w:rPr>
          <w:lang w:val="ka"/>
        </w:rPr>
        <w:t xml:space="preserve">იღებს გაწევრიანების განაცხადს,</w:t>
      </w:r>
      <w:r>
        <w:rPr>
          <w:lang w:val="ka"/>
        </w:rPr>
        <w:t xml:space="preserve"> </w:t>
      </w:r>
      <w:r>
        <w:rPr>
          <w:b/>
          <w:bCs/>
          <w:lang w:val="ka"/>
        </w:rPr>
        <w:t xml:space="preserve">ვის</w:t>
      </w:r>
      <w:r>
        <w:rPr>
          <w:lang w:val="ka"/>
        </w:rPr>
        <w:t xml:space="preserve"> </w:t>
      </w:r>
      <w:r>
        <w:rPr>
          <w:lang w:val="ka"/>
        </w:rPr>
        <w:t xml:space="preserve">ეგზავნება გასვლის შეტყობინება,</w:t>
      </w:r>
      <w:r>
        <w:rPr>
          <w:lang w:val="ka"/>
        </w:rPr>
        <w:t xml:space="preserve"> </w:t>
      </w:r>
      <w:r>
        <w:rPr>
          <w:b/>
          <w:bCs/>
          <w:lang w:val="ka"/>
        </w:rPr>
        <w:t xml:space="preserve">ვინ</w:t>
      </w:r>
      <w:r>
        <w:rPr>
          <w:lang w:val="ka"/>
        </w:rPr>
        <w:t xml:space="preserve"> </w:t>
      </w:r>
      <w:r>
        <w:rPr>
          <w:lang w:val="ka"/>
        </w:rPr>
        <w:t xml:space="preserve">იძლევა თანხმობას. დღეს ვკითხულობთ:</w:t>
      </w:r>
      <w:r>
        <w:rPr>
          <w:lang w:val="ka"/>
        </w:rPr>
        <w:t xml:space="preserve"> </w:t>
      </w:r>
      <w:r>
        <w:rPr>
          <w:b/>
          <w:bCs/>
          <w:lang w:val="ka"/>
        </w:rPr>
        <w:t xml:space="preserve">რატომ</w:t>
      </w:r>
      <w:r>
        <w:rPr>
          <w:lang w:val="ka"/>
        </w:rPr>
        <w:t xml:space="preserve"> </w:t>
      </w:r>
      <w:r>
        <w:rPr>
          <w:lang w:val="ka"/>
        </w:rPr>
        <w:t xml:space="preserve">ასე? რატომ ორი „საბჭო“? რატომ ვერ წარადგენს ევროპარლამენტი კანონპროექტს — და რატომ ვერ მიიღებს საბჭო კანონს მის გარეშე?</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ka"/>
              </w:rPr>
              <w:t xml:space="preserve">კითხვა</w:t>
            </w:r>
          </w:p>
        </w:tc>
        <w:tc>
          <w:tcPr/>
          <w:p>
            <w:pPr>
              <w:pStyle w:val="Compact"/>
            </w:pPr>
            <w:r>
              <w:rPr>
                <w:lang w:val="ka"/>
              </w:rPr>
              <w:t xml:space="preserve">მუხლი</w:t>
            </w:r>
          </w:p>
        </w:tc>
        <w:tc>
          <w:tcPr/>
          <w:p>
            <w:pPr>
              <w:pStyle w:val="Compact"/>
            </w:pPr>
            <w:r>
              <w:rPr>
                <w:lang w:val="ka"/>
              </w:rPr>
              <w:t xml:space="preserve">წიგნი</w:t>
            </w:r>
          </w:p>
        </w:tc>
      </w:tr>
      <w:tr>
        <w:tc>
          <w:tcPr/>
          <w:p>
            <w:pPr>
              <w:pStyle w:val="Compact"/>
            </w:pPr>
            <w:r>
              <w:rPr>
                <w:lang w:val="ka"/>
              </w:rPr>
              <w:t xml:space="preserve">როგორ ნაწილდება ხელისუფლება?</w:t>
            </w:r>
          </w:p>
        </w:tc>
        <w:tc>
          <w:tcPr/>
          <w:p>
            <w:pPr>
              <w:pStyle w:val="Compact"/>
            </w:pPr>
            <w:r>
              <w:rPr>
                <w:lang w:val="ka"/>
              </w:rPr>
              <w:t xml:space="preserve">TEU</w:t>
            </w:r>
            <w:r>
              <w:rPr>
                <w:lang w:val="ka"/>
              </w:rPr>
              <w:t xml:space="preserve"> </w:t>
            </w:r>
            <w:r>
              <w:rPr>
                <w:b/>
                <w:bCs/>
                <w:lang w:val="ka"/>
              </w:rPr>
              <w:t xml:space="preserve">13</w:t>
            </w:r>
          </w:p>
        </w:tc>
        <w:tc>
          <w:tcPr/>
          <w:p>
            <w:pPr>
              <w:pStyle w:val="Compact"/>
            </w:pPr>
            <w:r>
              <w:rPr>
                <w:lang w:val="ka"/>
              </w:rPr>
              <w:t xml:space="preserve">გაბრიჩიძე 2023, გვ. 36–38 (პარ. 112–122)</w:t>
            </w:r>
          </w:p>
        </w:tc>
      </w:tr>
      <w:tr>
        <w:tc>
          <w:tcPr/>
          <w:p>
            <w:pPr>
              <w:pStyle w:val="Compact"/>
            </w:pPr>
            <w:r>
              <w:rPr>
                <w:lang w:val="ka"/>
              </w:rPr>
              <w:t xml:space="preserve">ევროპული საბჭო</w:t>
            </w:r>
          </w:p>
        </w:tc>
        <w:tc>
          <w:tcPr/>
          <w:p>
            <w:pPr>
              <w:pStyle w:val="Compact"/>
            </w:pPr>
            <w:r>
              <w:rPr>
                <w:lang w:val="ka"/>
              </w:rPr>
              <w:t xml:space="preserve">TEU</w:t>
            </w:r>
            <w:r>
              <w:rPr>
                <w:lang w:val="ka"/>
              </w:rPr>
              <w:t xml:space="preserve"> </w:t>
            </w:r>
            <w:r>
              <w:rPr>
                <w:b/>
                <w:bCs/>
                <w:lang w:val="ka"/>
              </w:rPr>
              <w:t xml:space="preserve">15</w:t>
            </w:r>
            <w:r>
              <w:rPr>
                <w:lang w:val="ka"/>
              </w:rPr>
              <w:t xml:space="preserve">; TFEU 235–236</w:t>
            </w:r>
          </w:p>
        </w:tc>
        <w:tc>
          <w:tcPr/>
          <w:p>
            <w:pPr>
              <w:pStyle w:val="Compact"/>
            </w:pPr>
            <w:r>
              <w:rPr>
                <w:lang w:val="ka"/>
              </w:rPr>
              <w:t xml:space="preserve">გვ. 41–44 (პარ. 130–137)</w:t>
            </w:r>
          </w:p>
        </w:tc>
      </w:tr>
      <w:tr>
        <w:tc>
          <w:tcPr/>
          <w:p>
            <w:pPr>
              <w:pStyle w:val="Compact"/>
            </w:pPr>
            <w:r>
              <w:rPr>
                <w:lang w:val="ka"/>
              </w:rPr>
              <w:t xml:space="preserve">საბჭო</w:t>
            </w:r>
          </w:p>
        </w:tc>
        <w:tc>
          <w:tcPr/>
          <w:p>
            <w:pPr>
              <w:pStyle w:val="Compact"/>
            </w:pPr>
            <w:r>
              <w:rPr>
                <w:lang w:val="ka"/>
              </w:rPr>
              <w:t xml:space="preserve">TEU</w:t>
            </w:r>
            <w:r>
              <w:rPr>
                <w:lang w:val="ka"/>
              </w:rPr>
              <w:t xml:space="preserve"> </w:t>
            </w:r>
            <w:r>
              <w:rPr>
                <w:b/>
                <w:bCs/>
                <w:lang w:val="ka"/>
              </w:rPr>
              <w:t xml:space="preserve">16</w:t>
            </w:r>
            <w:r>
              <w:rPr>
                <w:lang w:val="ka"/>
              </w:rPr>
              <w:t xml:space="preserve">; TFEU 237–243</w:t>
            </w:r>
          </w:p>
        </w:tc>
        <w:tc>
          <w:tcPr/>
          <w:p>
            <w:pPr>
              <w:pStyle w:val="Compact"/>
            </w:pPr>
            <w:r>
              <w:rPr>
                <w:lang w:val="ka"/>
              </w:rPr>
              <w:t xml:space="preserve">გვ. 44–52 (პარ. 138–162)</w:t>
            </w:r>
          </w:p>
        </w:tc>
      </w:tr>
      <w:tr>
        <w:tc>
          <w:tcPr/>
          <w:p>
            <w:pPr>
              <w:pStyle w:val="Compact"/>
            </w:pPr>
            <w:r>
              <w:rPr>
                <w:lang w:val="ka"/>
              </w:rPr>
              <w:t xml:space="preserve">ევროკომისია</w:t>
            </w:r>
          </w:p>
        </w:tc>
        <w:tc>
          <w:tcPr/>
          <w:p>
            <w:pPr>
              <w:pStyle w:val="Compact"/>
            </w:pPr>
            <w:r>
              <w:rPr>
                <w:lang w:val="ka"/>
              </w:rPr>
              <w:t xml:space="preserve">TEU</w:t>
            </w:r>
            <w:r>
              <w:rPr>
                <w:lang w:val="ka"/>
              </w:rPr>
              <w:t xml:space="preserve"> </w:t>
            </w:r>
            <w:r>
              <w:rPr>
                <w:b/>
                <w:bCs/>
                <w:lang w:val="ka"/>
              </w:rPr>
              <w:t xml:space="preserve">17</w:t>
            </w:r>
            <w:r>
              <w:rPr>
                <w:lang w:val="ka"/>
              </w:rPr>
              <w:t xml:space="preserve">; TFEU 244–250</w:t>
            </w:r>
          </w:p>
        </w:tc>
        <w:tc>
          <w:tcPr/>
          <w:p>
            <w:pPr>
              <w:pStyle w:val="Compact"/>
            </w:pPr>
            <w:r>
              <w:rPr>
                <w:lang w:val="ka"/>
              </w:rPr>
              <w:t xml:space="preserve">გვ. 52–59 (პარ. 163–185)</w:t>
            </w:r>
          </w:p>
        </w:tc>
      </w:tr>
      <w:tr>
        <w:tc>
          <w:tcPr/>
          <w:p>
            <w:pPr>
              <w:pStyle w:val="Compact"/>
            </w:pPr>
            <w:r>
              <w:rPr>
                <w:lang w:val="ka"/>
              </w:rPr>
              <w:t xml:space="preserve">ევროპარლამენტი</w:t>
            </w:r>
          </w:p>
        </w:tc>
        <w:tc>
          <w:tcPr/>
          <w:p>
            <w:pPr>
              <w:pStyle w:val="Compact"/>
            </w:pPr>
            <w:r>
              <w:rPr>
                <w:lang w:val="ka"/>
              </w:rPr>
              <w:t xml:space="preserve">TEU</w:t>
            </w:r>
            <w:r>
              <w:rPr>
                <w:lang w:val="ka"/>
              </w:rPr>
              <w:t xml:space="preserve"> </w:t>
            </w:r>
            <w:r>
              <w:rPr>
                <w:b/>
                <w:bCs/>
                <w:lang w:val="ka"/>
              </w:rPr>
              <w:t xml:space="preserve">14</w:t>
            </w:r>
            <w:r>
              <w:rPr>
                <w:lang w:val="ka"/>
              </w:rPr>
              <w:t xml:space="preserve">; TFEU 223–234</w:t>
            </w:r>
          </w:p>
        </w:tc>
        <w:tc>
          <w:tcPr/>
          <w:p>
            <w:pPr>
              <w:pStyle w:val="Compact"/>
            </w:pPr>
            <w:r>
              <w:rPr>
                <w:lang w:val="ka"/>
              </w:rPr>
              <w:t xml:space="preserve">გვ. 59–67 (პარ. 186–213)</w:t>
            </w:r>
          </w:p>
        </w:tc>
      </w:tr>
      <w:tr>
        <w:tc>
          <w:tcPr/>
          <w:p>
            <w:pPr>
              <w:pStyle w:val="Compact"/>
            </w:pPr>
            <w:r>
              <w:rPr>
                <w:lang w:val="ka"/>
              </w:rPr>
              <w:t xml:space="preserve">როგორ იქმნება კანონი</w:t>
            </w:r>
          </w:p>
        </w:tc>
        <w:tc>
          <w:tcPr/>
          <w:p>
            <w:pPr>
              <w:pStyle w:val="Compact"/>
            </w:pPr>
            <w:r>
              <w:rPr>
                <w:lang w:val="ka"/>
              </w:rPr>
              <w:t xml:space="preserve">TFEU</w:t>
            </w:r>
            <w:r>
              <w:rPr>
                <w:lang w:val="ka"/>
              </w:rPr>
              <w:t xml:space="preserve"> </w:t>
            </w:r>
            <w:r>
              <w:rPr>
                <w:b/>
                <w:bCs/>
                <w:lang w:val="ka"/>
              </w:rPr>
              <w:t xml:space="preserve">289, 294</w:t>
            </w:r>
          </w:p>
        </w:tc>
        <w:tc>
          <w:tcPr/>
          <w:p>
            <w:pPr>
              <w:pStyle w:val="Compact"/>
            </w:pPr>
            <w:r>
              <w:rPr>
                <w:lang w:val="ka"/>
              </w:rPr>
              <w:t xml:space="preserve">გვ. 64–65 (პარ. 201–206)</w:t>
            </w:r>
          </w:p>
        </w:tc>
      </w:tr>
    </w:tbl>
    <w:p>
      <w:r>
        <w:pict>
          <v:rect style="width:0;height:1.5pt" o:hralign="center" o:hrstd="t" o:hr="t"/>
        </w:pict>
      </w:r>
    </w:p>
    <w:bookmarkEnd w:id="11"/>
    <w:bookmarkStart w:id="12" w:name="X881035bfb89932a7b5a71c7d898f2b1a82e4c2d"/>
    <w:p>
      <w:pPr>
        <w:pStyle w:val="Heading1"/>
      </w:pPr>
      <w:r>
        <w:rPr>
          <w:lang w:val="ka"/>
        </w:rPr>
        <w:t xml:space="preserve">I. ხელისუფლების დანაწილება — თუ ინსტიტუციური ბალანსი?</w:t>
      </w:r>
    </w:p>
    <w:p>
      <w:pPr>
        <w:pStyle w:val="FirstParagraph"/>
      </w:pPr>
      <w:r>
        <w:rPr>
          <w:lang w:val="ka"/>
        </w:rPr>
        <w:t xml:space="preserve">სახელმწიფოში ვიცით: პარლამენტი იღებს კანონს, მთავრობა ასრულებს, სასამართლო განსჯის. ევროკავშირში ეს სქემა</w:t>
      </w:r>
      <w:r>
        <w:rPr>
          <w:lang w:val="ka"/>
        </w:rPr>
        <w:t xml:space="preserve"> </w:t>
      </w:r>
      <w:r>
        <w:rPr>
          <w:b/>
          <w:bCs/>
          <w:lang w:val="ka"/>
        </w:rPr>
        <w:t xml:space="preserve">არ მუშაობს</w:t>
      </w:r>
      <w:r>
        <w:rPr>
          <w:lang w:val="ka"/>
        </w:rPr>
        <w:t xml:space="preserve">. გაბრიჩიძე: ცალკეულ ორგანოებს ვერ დავაკვალიფიცირებთ ერთმნიშვნელოვნად საკანონმდებლოდ ან აღმასრულებლად — საბჭოსა და კომისიას ერთდროულად აქვთ</w:t>
      </w:r>
      <w:r>
        <w:rPr>
          <w:lang w:val="ka"/>
        </w:rPr>
        <w:t xml:space="preserve"> </w:t>
      </w:r>
      <w:r>
        <w:rPr>
          <w:b/>
          <w:bCs/>
          <w:lang w:val="ka"/>
        </w:rPr>
        <w:t xml:space="preserve">პოლიტიკური, საკანონმდებლო და აღმასრულებელი</w:t>
      </w:r>
      <w:r>
        <w:rPr>
          <w:lang w:val="ka"/>
        </w:rPr>
        <w:t xml:space="preserve"> </w:t>
      </w:r>
      <w:r>
        <w:rPr>
          <w:lang w:val="ka"/>
        </w:rPr>
        <w:t xml:space="preserve">ფუნქციები; მკვეთრად გამიჯნულია მხოლოდ</w:t>
      </w:r>
      <w:r>
        <w:rPr>
          <w:lang w:val="ka"/>
        </w:rPr>
        <w:t xml:space="preserve"> </w:t>
      </w:r>
      <w:r>
        <w:rPr>
          <w:b/>
          <w:bCs/>
          <w:lang w:val="ka"/>
        </w:rPr>
        <w:t xml:space="preserve">მართლმსაჯულება</w:t>
      </w:r>
      <w:r>
        <w:rPr>
          <w:lang w:val="ka"/>
        </w:rPr>
        <w:t xml:space="preserve"> </w:t>
      </w:r>
      <w:r>
        <w:rPr>
          <w:i/>
          <w:iCs/>
          <w:lang w:val="ka"/>
        </w:rPr>
        <w:t xml:space="preserve">(2023, გვ. 37, პარ. 116)</w:t>
      </w:r>
      <w:r>
        <w:rPr>
          <w:lang w:val="ka"/>
        </w:rPr>
        <w:t xml:space="preserve">. მიუხედავად ამისა, სტრუქტურა</w:t>
      </w:r>
      <w:r>
        <w:rPr>
          <w:lang w:val="ka"/>
        </w:rPr>
        <w:t xml:space="preserve"> </w:t>
      </w:r>
      <w:r>
        <w:rPr>
          <w:i/>
          <w:iCs/>
          <w:lang w:val="ka"/>
        </w:rPr>
        <w:t xml:space="preserve">დე ფაქტო</w:t>
      </w:r>
      <w:r>
        <w:rPr>
          <w:lang w:val="ka"/>
        </w:rPr>
        <w:t xml:space="preserve"> </w:t>
      </w:r>
      <w:r>
        <w:rPr>
          <w:b/>
          <w:bCs/>
          <w:lang w:val="ka"/>
        </w:rPr>
        <w:t xml:space="preserve">ურთიერთშეზღუდვის სისტემაა</w:t>
      </w:r>
      <w:r>
        <w:rPr>
          <w:lang w:val="ka"/>
        </w:rPr>
        <w:t xml:space="preserve"> </w:t>
      </w:r>
      <w:r>
        <w:rPr>
          <w:i/>
          <w:iCs/>
          <w:lang w:val="ka"/>
        </w:rPr>
        <w:t xml:space="preserve">(პარ. 117)</w:t>
      </w:r>
      <w:r>
        <w:rPr>
          <w:lang w:val="ka"/>
        </w:rPr>
        <w:t xml:space="preserve">.</w:t>
      </w:r>
    </w:p>
    <w:p>
      <w:pPr>
        <w:pStyle w:val="BodyText"/>
      </w:pPr>
      <w:r>
        <w:rPr>
          <w:lang w:val="ka"/>
        </w:rPr>
        <w:t xml:space="preserve">ხელშეკრულება ამის ნაცვლად ორ წესს აწესებს:</w:t>
      </w:r>
    </w:p>
    <w:p>
      <w:pPr>
        <w:pStyle w:val="BlockText"/>
      </w:pPr>
      <w:r>
        <w:rPr>
          <w:lang w:val="ka"/>
        </w:rPr>
        <w:t xml:space="preserve">„თითოეული ორგანო მოქმედებს ხელშეკრულებებით მისთვის</w:t>
      </w:r>
      <w:r>
        <w:rPr>
          <w:lang w:val="ka"/>
        </w:rPr>
        <w:t xml:space="preserve"> </w:t>
      </w:r>
      <w:r>
        <w:rPr>
          <w:b/>
          <w:bCs/>
          <w:lang w:val="ka"/>
        </w:rPr>
        <w:t xml:space="preserve">მინიჭებული უფლებამოსილების ფარგლებში</w:t>
      </w:r>
      <w:r>
        <w:rPr>
          <w:lang w:val="ka"/>
        </w:rPr>
        <w:t xml:space="preserve"> </w:t>
      </w:r>
      <w:r>
        <w:rPr>
          <w:lang w:val="ka"/>
        </w:rPr>
        <w:t xml:space="preserve">[…]. ორგანოები ერთმანეთთან</w:t>
      </w:r>
      <w:r>
        <w:rPr>
          <w:lang w:val="ka"/>
        </w:rPr>
        <w:t xml:space="preserve"> </w:t>
      </w:r>
      <w:r>
        <w:rPr>
          <w:b/>
          <w:bCs/>
          <w:lang w:val="ka"/>
        </w:rPr>
        <w:t xml:space="preserve">ურთიერთკეთილსინდისიერ თანამშრომლობას</w:t>
      </w:r>
      <w:r>
        <w:rPr>
          <w:lang w:val="ka"/>
        </w:rPr>
        <w:t xml:space="preserve"> </w:t>
      </w:r>
      <w:r>
        <w:rPr>
          <w:lang w:val="ka"/>
        </w:rPr>
        <w:t xml:space="preserve">ახორციელებენ.“</w:t>
      </w:r>
    </w:p>
    <w:p>
      <w:pPr>
        <w:pStyle w:val="BlockText"/>
      </w:pPr>
      <w:r>
        <w:rPr>
          <w:i/>
          <w:iCs/>
          <w:lang w:val="ka"/>
        </w:rPr>
        <w:t xml:space="preserve">ორიგინალი:</w:t>
      </w:r>
      <w:r>
        <w:rPr>
          <w:lang w:val="ka"/>
        </w:rPr>
        <w:t xml:space="preserve"> </w:t>
      </w:r>
      <w:r>
        <w:rPr>
          <w:lang w:val="ka"/>
        </w:rPr>
        <w:t xml:space="preserve">„Each institution shall act within the limits of the powers conferred on it in the Treaties, and in conformity with the procedures, conditions and objectives set out in them. The institutions shall practice mutual sincere cooperation.“ —</w:t>
      </w:r>
      <w:r>
        <w:rPr>
          <w:lang w:val="ka"/>
        </w:rPr>
        <w:t xml:space="preserve"> </w:t>
      </w:r>
      <w:r>
        <w:rPr>
          <w:i/>
          <w:iCs/>
          <w:lang w:val="ka"/>
        </w:rPr>
        <w:t xml:space="preserve">TEU მუხ. 13(2), PDF გვ. 21</w:t>
      </w:r>
    </w:p>
    <w:p>
      <w:pPr>
        <w:pStyle w:val="FirstParagraph"/>
      </w:pPr>
      <w:r>
        <w:rPr>
          <w:lang w:val="ka"/>
        </w:rPr>
        <w:t xml:space="preserve">ეს არის</w:t>
      </w:r>
      <w:r>
        <w:rPr>
          <w:lang w:val="ka"/>
        </w:rPr>
        <w:t xml:space="preserve"> </w:t>
      </w:r>
      <w:r>
        <w:rPr>
          <w:b/>
          <w:bCs/>
          <w:lang w:val="ka"/>
        </w:rPr>
        <w:t xml:space="preserve">ინსტიტუციური ბალანსი</w:t>
      </w:r>
      <w:r>
        <w:rPr>
          <w:lang w:val="ka"/>
        </w:rPr>
        <w:t xml:space="preserve">: ორგანომ არ უნდა „მიითვისოს“ სხვისი როლი — თუნდაც საქმის დაჩქარების მიზნით. სწორედ ამაზეა ამ კვირის სემინარი (</w:t>
      </w:r>
      <w:r>
        <w:rPr>
          <w:i/>
          <w:iCs/>
          <w:lang w:val="ka"/>
        </w:rPr>
        <w:t xml:space="preserve">Isoglucose</w:t>
      </w:r>
      <w:r>
        <w:rPr>
          <w:lang w:val="ka"/>
        </w:rPr>
        <w:t xml:space="preserve">, 1980).</w:t>
      </w:r>
    </w:p>
    <w:p>
      <w:pPr>
        <w:pStyle w:val="BodyText"/>
      </w:pPr>
      <w:r>
        <w:rPr>
          <w:b/>
          <w:bCs/>
          <w:lang w:val="ka"/>
        </w:rPr>
        <w:t xml:space="preserve">ორი ლოგიკა ერთ სისტემაში.</w:t>
      </w:r>
      <w:r>
        <w:rPr>
          <w:lang w:val="ka"/>
        </w:rPr>
        <w:t xml:space="preserve"> </w:t>
      </w:r>
      <w:r>
        <w:rPr>
          <w:lang w:val="ka"/>
        </w:rPr>
        <w:t xml:space="preserve">TEU 10(2): მოქალაქეები „პირდაპირ“ წარმოდგენილი არიან</w:t>
      </w:r>
      <w:r>
        <w:rPr>
          <w:lang w:val="ka"/>
        </w:rPr>
        <w:t xml:space="preserve"> </w:t>
      </w:r>
      <w:r>
        <w:rPr>
          <w:b/>
          <w:bCs/>
          <w:lang w:val="ka"/>
        </w:rPr>
        <w:t xml:space="preserve">ევროპარლამენტში</w:t>
      </w:r>
      <w:r>
        <w:rPr>
          <w:lang w:val="ka"/>
        </w:rPr>
        <w:t xml:space="preserve">, სახელმწიფოები —</w:t>
      </w:r>
      <w:r>
        <w:rPr>
          <w:lang w:val="ka"/>
        </w:rPr>
        <w:t xml:space="preserve"> </w:t>
      </w:r>
      <w:r>
        <w:rPr>
          <w:b/>
          <w:bCs/>
          <w:lang w:val="ka"/>
        </w:rPr>
        <w:t xml:space="preserve">ევროპულ საბჭოში</w:t>
      </w:r>
      <w:r>
        <w:rPr>
          <w:lang w:val="ka"/>
        </w:rPr>
        <w:t xml:space="preserve"> </w:t>
      </w:r>
      <w:r>
        <w:rPr>
          <w:lang w:val="ka"/>
        </w:rPr>
        <w:t xml:space="preserve">(მეთაურებით) და</w:t>
      </w:r>
      <w:r>
        <w:rPr>
          <w:lang w:val="ka"/>
        </w:rPr>
        <w:t xml:space="preserve"> </w:t>
      </w:r>
      <w:r>
        <w:rPr>
          <w:b/>
          <w:bCs/>
          <w:lang w:val="ka"/>
        </w:rPr>
        <w:t xml:space="preserve">საბჭოში</w:t>
      </w:r>
      <w:r>
        <w:rPr>
          <w:lang w:val="ka"/>
        </w:rPr>
        <w:t xml:space="preserve"> </w:t>
      </w:r>
      <w:r>
        <w:rPr>
          <w:lang w:val="ka"/>
        </w:rPr>
        <w:t xml:space="preserve">(მთავრობებით). კომისია კი — ევროკავშირის</w:t>
      </w:r>
      <w:r>
        <w:rPr>
          <w:lang w:val="ka"/>
        </w:rPr>
        <w:t xml:space="preserve"> </w:t>
      </w:r>
      <w:r>
        <w:rPr>
          <w:b/>
          <w:bCs/>
          <w:lang w:val="ka"/>
        </w:rPr>
        <w:t xml:space="preserve">ზოგადი ინტერესია</w:t>
      </w:r>
      <w:r>
        <w:rPr>
          <w:lang w:val="ka"/>
        </w:rPr>
        <w:t xml:space="preserve"> </w:t>
      </w:r>
      <w:r>
        <w:rPr>
          <w:lang w:val="ka"/>
        </w:rPr>
        <w:t xml:space="preserve">(TEU 17(1)). ამიტომ ყველა მნიშვნელოვანი გადაწყვეტილება ორ ხაზს აერთიანებს:</w:t>
      </w:r>
      <w:r>
        <w:rPr>
          <w:lang w:val="ka"/>
        </w:rPr>
        <w:t xml:space="preserve"> </w:t>
      </w:r>
      <w:r>
        <w:rPr>
          <w:b/>
          <w:bCs/>
          <w:lang w:val="ka"/>
        </w:rPr>
        <w:t xml:space="preserve">ზეეროვნულს</w:t>
      </w:r>
      <w:r>
        <w:rPr>
          <w:lang w:val="ka"/>
        </w:rPr>
        <w:t xml:space="preserve"> </w:t>
      </w:r>
      <w:r>
        <w:rPr>
          <w:lang w:val="ka"/>
        </w:rPr>
        <w:t xml:space="preserve">(ევროპარლამენტი, კომისია) და</w:t>
      </w:r>
      <w:r>
        <w:rPr>
          <w:lang w:val="ka"/>
        </w:rPr>
        <w:t xml:space="preserve"> </w:t>
      </w:r>
      <w:r>
        <w:rPr>
          <w:b/>
          <w:bCs/>
          <w:lang w:val="ka"/>
        </w:rPr>
        <w:t xml:space="preserve">სახელმწიფოთაშორისს</w:t>
      </w:r>
      <w:r>
        <w:rPr>
          <w:lang w:val="ka"/>
        </w:rPr>
        <w:t xml:space="preserve"> </w:t>
      </w:r>
      <w:r>
        <w:rPr>
          <w:lang w:val="ka"/>
        </w:rPr>
        <w:t xml:space="preserve">(ევროპული საბჭო, საბჭო).</w:t>
      </w:r>
    </w:p>
    <w:p>
      <w:pPr>
        <w:pStyle w:val="BodyText"/>
      </w:pPr>
      <w:r>
        <w:rPr>
          <w:lang w:val="ka"/>
        </w:rPr>
        <w:t xml:space="preserve">📊 → ცხრილი 1: „ხელისუფლების დანაწილება: სახელმწიფო vs ევროკავშირი“.</w:t>
      </w:r>
    </w:p>
    <w:p>
      <w:r>
        <w:pict>
          <v:rect style="width:0;height:1.5pt" o:hralign="center" o:hrstd="t" o:hr="t"/>
        </w:pict>
      </w:r>
    </w:p>
    <w:bookmarkEnd w:id="12"/>
    <w:bookmarkStart w:id="17" w:name="ii.-ოთხი-ორგანო-ოთხი-ფორმულა"/>
    <w:p>
      <w:pPr>
        <w:pStyle w:val="Heading1"/>
      </w:pPr>
      <w:r>
        <w:rPr>
          <w:lang w:val="ka"/>
        </w:rPr>
        <w:t xml:space="preserve">II. ოთხი ორგანო — ოთხი ფორმულა</w:t>
      </w:r>
    </w:p>
    <w:p>
      <w:pPr>
        <w:pStyle w:val="FirstParagraph"/>
      </w:pPr>
      <w:r>
        <w:rPr>
          <w:lang w:val="ka"/>
        </w:rPr>
        <w:t xml:space="preserve">ყოველ ორგანოს ხელშეკრულებაში ერთი „განმსაზღვრელი“ წინადადება აქვს. ისწავლეთ ზეპირად — დანარჩენი მათგან გამომდინარეობს.</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ka"/>
              </w:rPr>
              <w:t xml:space="preserve">ორგანო</w:t>
            </w:r>
          </w:p>
        </w:tc>
        <w:tc>
          <w:tcPr/>
          <w:p>
            <w:pPr>
              <w:pStyle w:val="Compact"/>
            </w:pPr>
            <w:r>
              <w:rPr>
                <w:lang w:val="ka"/>
              </w:rPr>
              <w:t xml:space="preserve">ფორმულა (ორიგინალი)</w:t>
            </w:r>
          </w:p>
        </w:tc>
        <w:tc>
          <w:tcPr/>
          <w:p>
            <w:pPr>
              <w:pStyle w:val="Compact"/>
            </w:pPr>
            <w:r>
              <w:rPr>
                <w:lang w:val="ka"/>
              </w:rPr>
              <w:t xml:space="preserve">რას ნიშნავს</w:t>
            </w:r>
          </w:p>
        </w:tc>
      </w:tr>
      <w:tr>
        <w:tc>
          <w:tcPr/>
          <w:p>
            <w:pPr>
              <w:pStyle w:val="Compact"/>
            </w:pPr>
            <w:r>
              <w:rPr>
                <w:b/>
                <w:bCs/>
                <w:lang w:val="ka"/>
              </w:rPr>
              <w:t xml:space="preserve">ევროპარლამენტი</w:t>
            </w:r>
          </w:p>
        </w:tc>
        <w:tc>
          <w:tcPr/>
          <w:p>
            <w:pPr>
              <w:pStyle w:val="Compact"/>
            </w:pPr>
            <w:r>
              <w:rPr>
                <w:lang w:val="ka"/>
              </w:rPr>
              <w:t xml:space="preserve">„…shall,</w:t>
            </w:r>
            <w:r>
              <w:rPr>
                <w:lang w:val="ka"/>
              </w:rPr>
              <w:t xml:space="preserve"> </w:t>
            </w:r>
            <w:r>
              <w:rPr>
                <w:b/>
                <w:bCs/>
                <w:lang w:val="ka"/>
              </w:rPr>
              <w:t xml:space="preserve">jointly with the Council</w:t>
            </w:r>
            <w:r>
              <w:rPr>
                <w:lang w:val="ka"/>
              </w:rPr>
              <w:t xml:space="preserve">, exercise legislative and budgetary functions. It shall exercise functions of political control and consultation […]. It shall</w:t>
            </w:r>
            <w:r>
              <w:rPr>
                <w:lang w:val="ka"/>
              </w:rPr>
              <w:t xml:space="preserve"> </w:t>
            </w:r>
            <w:r>
              <w:rPr>
                <w:b/>
                <w:bCs/>
                <w:lang w:val="ka"/>
              </w:rPr>
              <w:t xml:space="preserve">elect the President of the Commission</w:t>
            </w:r>
            <w:r>
              <w:rPr>
                <w:lang w:val="ka"/>
              </w:rPr>
              <w:t xml:space="preserve">.“ —</w:t>
            </w:r>
            <w:r>
              <w:rPr>
                <w:lang w:val="ka"/>
              </w:rPr>
              <w:t xml:space="preserve"> </w:t>
            </w:r>
            <w:r>
              <w:rPr>
                <w:i/>
                <w:iCs/>
                <w:lang w:val="ka"/>
              </w:rPr>
              <w:t xml:space="preserve">TEU 14(1)</w:t>
            </w:r>
          </w:p>
        </w:tc>
        <w:tc>
          <w:tcPr/>
          <w:p>
            <w:pPr>
              <w:pStyle w:val="Compact"/>
            </w:pPr>
            <w:r>
              <w:rPr>
                <w:lang w:val="ka"/>
              </w:rPr>
              <w:t xml:space="preserve">თანაკანონმდებელი + კონტროლიორი</w:t>
            </w:r>
          </w:p>
        </w:tc>
      </w:tr>
      <w:tr>
        <w:tc>
          <w:tcPr/>
          <w:p>
            <w:pPr>
              <w:pStyle w:val="Compact"/>
            </w:pPr>
            <w:r>
              <w:rPr>
                <w:b/>
                <w:bCs/>
                <w:lang w:val="ka"/>
              </w:rPr>
              <w:t xml:space="preserve">ევროპული საბჭო</w:t>
            </w:r>
          </w:p>
        </w:tc>
        <w:tc>
          <w:tcPr/>
          <w:p>
            <w:pPr>
              <w:pStyle w:val="Compact"/>
            </w:pPr>
            <w:r>
              <w:rPr>
                <w:lang w:val="ka"/>
              </w:rPr>
              <w:t xml:space="preserve">„…shall provide the Union with the necessary</w:t>
            </w:r>
            <w:r>
              <w:rPr>
                <w:lang w:val="ka"/>
              </w:rPr>
              <w:t xml:space="preserve"> </w:t>
            </w:r>
            <w:r>
              <w:rPr>
                <w:b/>
                <w:bCs/>
                <w:lang w:val="ka"/>
              </w:rPr>
              <w:t xml:space="preserve">impetus</w:t>
            </w:r>
            <w:r>
              <w:rPr>
                <w:lang w:val="ka"/>
              </w:rPr>
              <w:t xml:space="preserve"> </w:t>
            </w:r>
            <w:r>
              <w:rPr>
                <w:lang w:val="ka"/>
              </w:rPr>
              <w:t xml:space="preserve">[…]. It</w:t>
            </w:r>
            <w:r>
              <w:rPr>
                <w:lang w:val="ka"/>
              </w:rPr>
              <w:t xml:space="preserve"> </w:t>
            </w:r>
            <w:r>
              <w:rPr>
                <w:b/>
                <w:bCs/>
                <w:lang w:val="ka"/>
              </w:rPr>
              <w:t xml:space="preserve">shall not exercise legislative functions</w:t>
            </w:r>
            <w:r>
              <w:rPr>
                <w:lang w:val="ka"/>
              </w:rPr>
              <w:t xml:space="preserve">.“ —</w:t>
            </w:r>
            <w:r>
              <w:rPr>
                <w:lang w:val="ka"/>
              </w:rPr>
              <w:t xml:space="preserve"> </w:t>
            </w:r>
            <w:r>
              <w:rPr>
                <w:i/>
                <w:iCs/>
                <w:lang w:val="ka"/>
              </w:rPr>
              <w:t xml:space="preserve">TEU 15(1)</w:t>
            </w:r>
          </w:p>
        </w:tc>
        <w:tc>
          <w:tcPr/>
          <w:p>
            <w:pPr>
              <w:pStyle w:val="Compact"/>
            </w:pPr>
            <w:r>
              <w:rPr>
                <w:lang w:val="ka"/>
              </w:rPr>
              <w:t xml:space="preserve">მიმართულება, არა კანონი</w:t>
            </w:r>
          </w:p>
        </w:tc>
      </w:tr>
      <w:tr>
        <w:tc>
          <w:tcPr/>
          <w:p>
            <w:pPr>
              <w:pStyle w:val="Compact"/>
            </w:pPr>
            <w:r>
              <w:rPr>
                <w:b/>
                <w:bCs/>
                <w:lang w:val="ka"/>
              </w:rPr>
              <w:t xml:space="preserve">საბჭო</w:t>
            </w:r>
          </w:p>
        </w:tc>
        <w:tc>
          <w:tcPr/>
          <w:p>
            <w:pPr>
              <w:pStyle w:val="Compact"/>
            </w:pPr>
            <w:r>
              <w:rPr>
                <w:lang w:val="ka"/>
              </w:rPr>
              <w:t xml:space="preserve">„…shall,</w:t>
            </w:r>
            <w:r>
              <w:rPr>
                <w:lang w:val="ka"/>
              </w:rPr>
              <w:t xml:space="preserve"> </w:t>
            </w:r>
            <w:r>
              <w:rPr>
                <w:b/>
                <w:bCs/>
                <w:lang w:val="ka"/>
              </w:rPr>
              <w:t xml:space="preserve">jointly with the European Parliament</w:t>
            </w:r>
            <w:r>
              <w:rPr>
                <w:lang w:val="ka"/>
              </w:rPr>
              <w:t xml:space="preserve">, exercise legislative and budgetary functions. It shall carry out policy-making and coordinating functions…“ —</w:t>
            </w:r>
            <w:r>
              <w:rPr>
                <w:lang w:val="ka"/>
              </w:rPr>
              <w:t xml:space="preserve"> </w:t>
            </w:r>
            <w:r>
              <w:rPr>
                <w:i/>
                <w:iCs/>
                <w:lang w:val="ka"/>
              </w:rPr>
              <w:t xml:space="preserve">TEU 16(1)</w:t>
            </w:r>
          </w:p>
        </w:tc>
        <w:tc>
          <w:tcPr/>
          <w:p>
            <w:pPr>
              <w:pStyle w:val="Compact"/>
            </w:pPr>
            <w:r>
              <w:rPr>
                <w:lang w:val="ka"/>
              </w:rPr>
              <w:t xml:space="preserve">მეორე თანაკანონმდებელი</w:t>
            </w:r>
          </w:p>
        </w:tc>
      </w:tr>
      <w:tr>
        <w:tc>
          <w:tcPr/>
          <w:p>
            <w:pPr>
              <w:pStyle w:val="Compact"/>
            </w:pPr>
            <w:r>
              <w:rPr>
                <w:b/>
                <w:bCs/>
                <w:lang w:val="ka"/>
              </w:rPr>
              <w:t xml:space="preserve">ევროკომისია</w:t>
            </w:r>
          </w:p>
        </w:tc>
        <w:tc>
          <w:tcPr/>
          <w:p>
            <w:pPr>
              <w:pStyle w:val="Compact"/>
            </w:pPr>
            <w:r>
              <w:rPr>
                <w:lang w:val="ka"/>
              </w:rPr>
              <w:t xml:space="preserve">„…shall promote the</w:t>
            </w:r>
            <w:r>
              <w:rPr>
                <w:lang w:val="ka"/>
              </w:rPr>
              <w:t xml:space="preserve"> </w:t>
            </w:r>
            <w:r>
              <w:rPr>
                <w:b/>
                <w:bCs/>
                <w:lang w:val="ka"/>
              </w:rPr>
              <w:t xml:space="preserve">general interest</w:t>
            </w:r>
            <w:r>
              <w:rPr>
                <w:lang w:val="ka"/>
              </w:rPr>
              <w:t xml:space="preserve"> </w:t>
            </w:r>
            <w:r>
              <w:rPr>
                <w:lang w:val="ka"/>
              </w:rPr>
              <w:t xml:space="preserve">of the Union […]. Union legislative acts may</w:t>
            </w:r>
            <w:r>
              <w:rPr>
                <w:lang w:val="ka"/>
              </w:rPr>
              <w:t xml:space="preserve"> </w:t>
            </w:r>
            <w:r>
              <w:rPr>
                <w:b/>
                <w:bCs/>
                <w:lang w:val="ka"/>
              </w:rPr>
              <w:t xml:space="preserve">only</w:t>
            </w:r>
            <w:r>
              <w:rPr>
                <w:lang w:val="ka"/>
              </w:rPr>
              <w:t xml:space="preserve"> </w:t>
            </w:r>
            <w:r>
              <w:rPr>
                <w:lang w:val="ka"/>
              </w:rPr>
              <w:t xml:space="preserve">be adopted on the basis of a Commission proposal, except where the Treaties provide otherwise.“ —</w:t>
            </w:r>
            <w:r>
              <w:rPr>
                <w:lang w:val="ka"/>
              </w:rPr>
              <w:t xml:space="preserve"> </w:t>
            </w:r>
            <w:r>
              <w:rPr>
                <w:i/>
                <w:iCs/>
                <w:lang w:val="ka"/>
              </w:rPr>
              <w:t xml:space="preserve">TEU 17(1)–(2)</w:t>
            </w:r>
          </w:p>
        </w:tc>
        <w:tc>
          <w:tcPr/>
          <w:p>
            <w:pPr>
              <w:pStyle w:val="Compact"/>
            </w:pPr>
            <w:r>
              <w:rPr>
                <w:lang w:val="ka"/>
              </w:rPr>
              <w:t xml:space="preserve">ინიციატორი + ზედამხედველი</w:t>
            </w:r>
          </w:p>
        </w:tc>
      </w:tr>
    </w:tbl>
    <w:p>
      <w:pPr>
        <w:pStyle w:val="BodyText"/>
      </w:pPr>
      <w:r>
        <w:rPr>
          <w:i/>
          <w:iCs/>
          <w:lang w:val="ka"/>
        </w:rPr>
        <w:t xml:space="preserve">(PDF გვ. 21–23)</w:t>
      </w:r>
    </w:p>
    <w:bookmarkStart w:id="13" w:name="ხშირი-შეცდომა-სამი-საბჭო"/>
    <w:p>
      <w:pPr>
        <w:pStyle w:val="Heading2"/>
      </w:pPr>
      <w:r>
        <w:rPr>
          <w:lang w:val="ka"/>
        </w:rPr>
        <w:t xml:space="preserve">⚠️ ხშირი შეცდომა: სამი „საბჭო“</w:t>
      </w:r>
    </w:p>
    <w:p>
      <w:pPr>
        <w:pStyle w:val="FirstParagraph"/>
      </w:pPr>
      <w:r>
        <w:rPr>
          <w:b/>
          <w:bCs/>
          <w:lang w:val="ka"/>
        </w:rPr>
        <w:t xml:space="preserve">ევროპული საბჭო</w:t>
      </w:r>
      <w:r>
        <w:rPr>
          <w:lang w:val="ka"/>
        </w:rPr>
        <w:t xml:space="preserve"> </w:t>
      </w:r>
      <w:r>
        <w:rPr>
          <w:lang w:val="ka"/>
        </w:rPr>
        <w:t xml:space="preserve">(მეთაურები) ≠</w:t>
      </w:r>
      <w:r>
        <w:rPr>
          <w:lang w:val="ka"/>
        </w:rPr>
        <w:t xml:space="preserve"> </w:t>
      </w:r>
      <w:r>
        <w:rPr>
          <w:b/>
          <w:bCs/>
          <w:lang w:val="ka"/>
        </w:rPr>
        <w:t xml:space="preserve">საბჭო</w:t>
      </w:r>
      <w:r>
        <w:rPr>
          <w:lang w:val="ka"/>
        </w:rPr>
        <w:t xml:space="preserve"> </w:t>
      </w:r>
      <w:r>
        <w:rPr>
          <w:lang w:val="ka"/>
        </w:rPr>
        <w:t xml:space="preserve">(მინისტრები) ≠</w:t>
      </w:r>
      <w:r>
        <w:rPr>
          <w:lang w:val="ka"/>
        </w:rPr>
        <w:t xml:space="preserve"> </w:t>
      </w:r>
      <w:r>
        <w:rPr>
          <w:b/>
          <w:bCs/>
          <w:lang w:val="ka"/>
        </w:rPr>
        <w:t xml:space="preserve">ევროპის საბჭო</w:t>
      </w:r>
      <w:r>
        <w:rPr>
          <w:lang w:val="ka"/>
        </w:rPr>
        <w:t xml:space="preserve"> </w:t>
      </w:r>
      <w:r>
        <w:rPr>
          <w:lang w:val="ka"/>
        </w:rPr>
        <w:t xml:space="preserve">(ცალკე ორგანიზაცია, 1949, სტრასბურგი; ევროკავშირის ორგანო</w:t>
      </w:r>
      <w:r>
        <w:rPr>
          <w:lang w:val="ka"/>
        </w:rPr>
        <w:t xml:space="preserve"> </w:t>
      </w:r>
      <w:r>
        <w:rPr>
          <w:b/>
          <w:bCs/>
          <w:lang w:val="ka"/>
        </w:rPr>
        <w:t xml:space="preserve">არ არის</w:t>
      </w:r>
      <w:r>
        <w:rPr>
          <w:lang w:val="ka"/>
        </w:rPr>
        <w:t xml:space="preserve"> </w:t>
      </w:r>
      <w:r>
        <w:rPr>
          <w:lang w:val="ka"/>
        </w:rPr>
        <w:t xml:space="preserve">—</w:t>
      </w:r>
      <w:r>
        <w:rPr>
          <w:lang w:val="ka"/>
        </w:rPr>
        <w:t xml:space="preserve"> </w:t>
      </w:r>
      <w:r>
        <w:rPr>
          <w:i/>
          <w:iCs/>
          <w:lang w:val="ka"/>
        </w:rPr>
        <w:t xml:space="preserve">CoE-ის წესდება, მუხ. 10–11</w:t>
      </w:r>
      <w:r>
        <w:rPr>
          <w:lang w:val="ka"/>
        </w:rPr>
        <w:t xml:space="preserve">). 📊 → ცხრილი 3.</w:t>
      </w:r>
    </w:p>
    <w:bookmarkEnd w:id="13"/>
    <w:bookmarkStart w:id="15" w:name="კონსენსუსი-qmv-უმრავლესობა"/>
    <w:p>
      <w:pPr>
        <w:pStyle w:val="Heading2"/>
      </w:pPr>
      <w:r>
        <w:rPr>
          <w:lang w:val="ka"/>
        </w:rPr>
        <w:t xml:space="preserve">კონსენსუსი, QMV, უმრავლესობა</w:t>
      </w:r>
    </w:p>
    <w:p>
      <w:pPr>
        <w:pStyle w:val="FirstParagraph"/>
      </w:pPr>
      <w:r>
        <w:rPr>
          <w:lang w:val="ka"/>
        </w:rPr>
        <w:t xml:space="preserve">ოთხი ორგანო — ოთხი ნაგულისხმევი წესი: ევროპარლამენტი —</w:t>
      </w:r>
      <w:r>
        <w:rPr>
          <w:lang w:val="ka"/>
        </w:rPr>
        <w:t xml:space="preserve"> </w:t>
      </w:r>
      <w:r>
        <w:rPr>
          <w:b/>
          <w:bCs/>
          <w:lang w:val="ka"/>
        </w:rPr>
        <w:t xml:space="preserve">მიცემული ხმების</w:t>
      </w:r>
      <w:r>
        <w:rPr>
          <w:lang w:val="ka"/>
        </w:rPr>
        <w:t xml:space="preserve"> </w:t>
      </w:r>
      <w:r>
        <w:rPr>
          <w:lang w:val="ka"/>
        </w:rPr>
        <w:t xml:space="preserve">უმრავლესობა (TFEU 231); ევროპული საბჭო —</w:t>
      </w:r>
      <w:r>
        <w:rPr>
          <w:lang w:val="ka"/>
        </w:rPr>
        <w:t xml:space="preserve"> </w:t>
      </w:r>
      <w:r>
        <w:rPr>
          <w:b/>
          <w:bCs/>
          <w:lang w:val="ka"/>
        </w:rPr>
        <w:t xml:space="preserve">კონსენსუსი</w:t>
      </w:r>
      <w:r>
        <w:rPr>
          <w:lang w:val="ka"/>
        </w:rPr>
        <w:t xml:space="preserve"> </w:t>
      </w:r>
      <w:r>
        <w:rPr>
          <w:lang w:val="ka"/>
        </w:rPr>
        <w:t xml:space="preserve">(TEU 15(4)); საბჭო —</w:t>
      </w:r>
      <w:r>
        <w:rPr>
          <w:lang w:val="ka"/>
        </w:rPr>
        <w:t xml:space="preserve"> </w:t>
      </w:r>
      <w:r>
        <w:rPr>
          <w:b/>
          <w:bCs/>
          <w:lang w:val="ka"/>
        </w:rPr>
        <w:t xml:space="preserve">კვალიფიციური უმრავლესობა</w:t>
      </w:r>
      <w:r>
        <w:rPr>
          <w:lang w:val="ka"/>
        </w:rPr>
        <w:t xml:space="preserve"> </w:t>
      </w:r>
      <w:r>
        <w:rPr>
          <w:lang w:val="ka"/>
        </w:rPr>
        <w:t xml:space="preserve">(TEU 16(3)); კომისია —</w:t>
      </w:r>
      <w:r>
        <w:rPr>
          <w:lang w:val="ka"/>
        </w:rPr>
        <w:t xml:space="preserve"> </w:t>
      </w:r>
      <w:r>
        <w:rPr>
          <w:b/>
          <w:bCs/>
          <w:lang w:val="ka"/>
        </w:rPr>
        <w:t xml:space="preserve">წევრთა</w:t>
      </w:r>
      <w:r>
        <w:rPr>
          <w:lang w:val="ka"/>
        </w:rPr>
        <w:t xml:space="preserve"> </w:t>
      </w:r>
      <w:r>
        <w:rPr>
          <w:lang w:val="ka"/>
        </w:rPr>
        <w:t xml:space="preserve">უმრავლესობა (TFEU 250). ⚠️ კონსენსუსი ერთხმადობა არ არის: ერთხმად ყველას „დიახ“ სჭირდება, კონსენსუსისას — არავინ უნდა იყოს წინააღმდეგი</w:t>
      </w:r>
      <w:r>
        <w:rPr>
          <w:lang w:val="ka"/>
        </w:rPr>
        <w:t xml:space="preserve"> </w:t>
      </w:r>
      <w:r>
        <w:rPr>
          <w:i/>
          <w:iCs/>
          <w:lang w:val="ka"/>
        </w:rPr>
        <w:t xml:space="preserve">(გაბრიჩიძე 2023, გვ. 44, პარ. 137)</w:t>
      </w:r>
      <w:r>
        <w:rPr>
          <w:lang w:val="ka"/>
        </w:rPr>
        <w:t xml:space="preserve">.</w:t>
      </w:r>
    </w:p>
    <w:p>
      <w:pPr>
        <w:pStyle w:val="BodyText"/>
      </w:pPr>
      <w:r>
        <w:rPr>
          <w:lang w:val="ka"/>
        </w:rPr>
        <w:t xml:space="preserve">QMV:</w:t>
      </w:r>
    </w:p>
    <w:p>
      <w:pPr>
        <w:pStyle w:val="BlockText"/>
      </w:pPr>
      <w:r>
        <w:rPr>
          <w:lang w:val="ka"/>
        </w:rPr>
        <w:t xml:space="preserve">„…წევრთა მინიმუმ</w:t>
      </w:r>
      <w:r>
        <w:rPr>
          <w:lang w:val="ka"/>
        </w:rPr>
        <w:t xml:space="preserve"> </w:t>
      </w:r>
      <w:r>
        <w:rPr>
          <w:b/>
          <w:bCs/>
          <w:lang w:val="ka"/>
        </w:rPr>
        <w:t xml:space="preserve">55%</w:t>
      </w:r>
      <w:r>
        <w:rPr>
          <w:lang w:val="ka"/>
        </w:rPr>
        <w:t xml:space="preserve">, მათ შორის მინიმუმ</w:t>
      </w:r>
      <w:r>
        <w:rPr>
          <w:lang w:val="ka"/>
        </w:rPr>
        <w:t xml:space="preserve"> </w:t>
      </w:r>
      <w:r>
        <w:rPr>
          <w:b/>
          <w:bCs/>
          <w:lang w:val="ka"/>
        </w:rPr>
        <w:t xml:space="preserve">თხუთმეტი</w:t>
      </w:r>
      <w:r>
        <w:rPr>
          <w:lang w:val="ka"/>
        </w:rPr>
        <w:t xml:space="preserve">, რომლებიც ევროკავშირის მოსახლეობის მინიმუმ</w:t>
      </w:r>
      <w:r>
        <w:rPr>
          <w:lang w:val="ka"/>
        </w:rPr>
        <w:t xml:space="preserve"> </w:t>
      </w:r>
      <w:r>
        <w:rPr>
          <w:b/>
          <w:bCs/>
          <w:lang w:val="ka"/>
        </w:rPr>
        <w:t xml:space="preserve">65%</w:t>
      </w:r>
      <w:r>
        <w:rPr>
          <w:lang w:val="ka"/>
        </w:rPr>
        <w:t xml:space="preserve">-ს წარმოადგენენ.“</w:t>
      </w:r>
    </w:p>
    <w:p>
      <w:pPr>
        <w:pStyle w:val="BlockText"/>
      </w:pPr>
      <w:r>
        <w:rPr>
          <w:i/>
          <w:iCs/>
          <w:lang w:val="ka"/>
        </w:rPr>
        <w:t xml:space="preserve">ორიგინალი:</w:t>
      </w:r>
      <w:r>
        <w:rPr>
          <w:lang w:val="ka"/>
        </w:rPr>
        <w:t xml:space="preserve"> </w:t>
      </w:r>
      <w:r>
        <w:rPr>
          <w:lang w:val="ka"/>
        </w:rPr>
        <w:t xml:space="preserve">„…at least 55 % of the members of the Council, comprising at least fifteen of them and representing Member States comprising at least 65 % of the population of the Union. A blocking minority must include at least four Council members…“ —</w:t>
      </w:r>
      <w:r>
        <w:rPr>
          <w:lang w:val="ka"/>
        </w:rPr>
        <w:t xml:space="preserve"> </w:t>
      </w:r>
      <w:r>
        <w:rPr>
          <w:i/>
          <w:iCs/>
          <w:lang w:val="ka"/>
        </w:rPr>
        <w:t xml:space="preserve">TEU მუხ. 16(4), PDF გვ. 22–23</w:t>
      </w:r>
    </w:p>
    <w:p>
      <w:pPr>
        <w:pStyle w:val="FirstParagraph"/>
      </w:pPr>
      <w:r>
        <w:rPr>
          <w:lang w:val="ka"/>
        </w:rPr>
        <w:t xml:space="preserve">📊 → ცხრილი 5 · კალკულატორი —</w:t>
      </w:r>
      <w:r>
        <w:rPr>
          <w:lang w:val="ka"/>
        </w:rPr>
        <w:t xml:space="preserve"> </w:t>
      </w:r>
      <w:hyperlink r:id="rId14">
        <w:r>
          <w:rPr>
            <w:rStyle w:val="Hyperlink"/>
            <w:lang w:val="ka"/>
          </w:rPr>
          <w:t xml:space="preserve">„პროცედურები“</w:t>
        </w:r>
      </w:hyperlink>
      <w:r>
        <w:rPr>
          <w:lang w:val="ka"/>
        </w:rPr>
        <w:t xml:space="preserve">.</w:t>
      </w:r>
    </w:p>
    <w:bookmarkEnd w:id="15"/>
    <w:bookmarkStart w:id="16" w:name="ვინ-ვის-აგებს-პასუხს"/>
    <w:p>
      <w:pPr>
        <w:pStyle w:val="Heading2"/>
      </w:pPr>
      <w:r>
        <w:rPr>
          <w:lang w:val="ka"/>
        </w:rPr>
        <w:t xml:space="preserve">ვინ ვის აგებს პასუხს</w:t>
      </w:r>
    </w:p>
    <w:p>
      <w:pPr>
        <w:pStyle w:val="FirstParagraph"/>
      </w:pPr>
      <w:r>
        <w:rPr>
          <w:lang w:val="ka"/>
        </w:rPr>
        <w:t xml:space="preserve">ევროპარლამენტს შეუძლია</w:t>
      </w:r>
      <w:r>
        <w:rPr>
          <w:lang w:val="ka"/>
        </w:rPr>
        <w:t xml:space="preserve"> </w:t>
      </w:r>
      <w:r>
        <w:rPr>
          <w:b/>
          <w:bCs/>
          <w:lang w:val="ka"/>
        </w:rPr>
        <w:t xml:space="preserve">კომისიას</w:t>
      </w:r>
      <w:r>
        <w:rPr>
          <w:lang w:val="ka"/>
        </w:rPr>
        <w:t xml:space="preserve"> </w:t>
      </w:r>
      <w:r>
        <w:rPr>
          <w:lang w:val="ka"/>
        </w:rPr>
        <w:t xml:space="preserve">უნდობლობა გამოუცხადოს — მიცემული ხმების</w:t>
      </w:r>
      <w:r>
        <w:rPr>
          <w:lang w:val="ka"/>
        </w:rPr>
        <w:t xml:space="preserve"> </w:t>
      </w:r>
      <w:r>
        <w:rPr>
          <w:b/>
          <w:bCs/>
          <w:lang w:val="ka"/>
        </w:rPr>
        <w:t xml:space="preserve">ორი მესამედით</w:t>
      </w:r>
      <w:r>
        <w:rPr>
          <w:lang w:val="ka"/>
        </w:rPr>
        <w:t xml:space="preserve">, რომელიც სრული შემადგენლობის</w:t>
      </w:r>
      <w:r>
        <w:rPr>
          <w:lang w:val="ka"/>
        </w:rPr>
        <w:t xml:space="preserve"> </w:t>
      </w:r>
      <w:r>
        <w:rPr>
          <w:b/>
          <w:bCs/>
          <w:lang w:val="ka"/>
        </w:rPr>
        <w:t xml:space="preserve">უმრავლესობასაც</w:t>
      </w:r>
      <w:r>
        <w:rPr>
          <w:lang w:val="ka"/>
        </w:rPr>
        <w:t xml:space="preserve"> </w:t>
      </w:r>
      <w:r>
        <w:rPr>
          <w:lang w:val="ka"/>
        </w:rPr>
        <w:t xml:space="preserve">შეადგენს; მაშინ კომისია გადადგება</w:t>
      </w:r>
      <w:r>
        <w:rPr>
          <w:lang w:val="ka"/>
        </w:rPr>
        <w:t xml:space="preserve"> </w:t>
      </w:r>
      <w:r>
        <w:rPr>
          <w:b/>
          <w:bCs/>
          <w:lang w:val="ka"/>
        </w:rPr>
        <w:t xml:space="preserve">მთლიანად</w:t>
      </w:r>
      <w:r>
        <w:rPr>
          <w:lang w:val="ka"/>
        </w:rPr>
        <w:t xml:space="preserve"> </w:t>
      </w:r>
      <w:r>
        <w:rPr>
          <w:lang w:val="ka"/>
        </w:rPr>
        <w:t xml:space="preserve">(TFEU 234; TEU 17(8)). საბჭოსა და ევროპულ საბჭოზე ასეთი ბერკეტი</w:t>
      </w:r>
      <w:r>
        <w:rPr>
          <w:lang w:val="ka"/>
        </w:rPr>
        <w:t xml:space="preserve"> </w:t>
      </w:r>
      <w:r>
        <w:rPr>
          <w:b/>
          <w:bCs/>
          <w:lang w:val="ka"/>
        </w:rPr>
        <w:t xml:space="preserve">არ</w:t>
      </w:r>
      <w:r>
        <w:rPr>
          <w:lang w:val="ka"/>
        </w:rPr>
        <w:t xml:space="preserve"> </w:t>
      </w:r>
      <w:r>
        <w:rPr>
          <w:lang w:val="ka"/>
        </w:rPr>
        <w:t xml:space="preserve">არსებობს — მათი წევრები</w:t>
      </w:r>
      <w:r>
        <w:rPr>
          <w:lang w:val="ka"/>
        </w:rPr>
        <w:t xml:space="preserve"> </w:t>
      </w:r>
      <w:r>
        <w:rPr>
          <w:b/>
          <w:bCs/>
          <w:lang w:val="ka"/>
        </w:rPr>
        <w:t xml:space="preserve">ეროვნულ</w:t>
      </w:r>
      <w:r>
        <w:rPr>
          <w:lang w:val="ka"/>
        </w:rPr>
        <w:t xml:space="preserve"> </w:t>
      </w:r>
      <w:r>
        <w:rPr>
          <w:lang w:val="ka"/>
        </w:rPr>
        <w:t xml:space="preserve">პარლამენტებს ან მოქალაქეებს ექვემდებარებიან (TEU 10(2)). 📊 → ცხრილი 6.</w:t>
      </w:r>
    </w:p>
    <w:p>
      <w:r>
        <w:pict>
          <v:rect style="width:0;height:1.5pt" o:hralign="center" o:hrstd="t" o:hr="t"/>
        </w:pict>
      </w:r>
    </w:p>
    <w:bookmarkEnd w:id="16"/>
    <w:bookmarkEnd w:id="17"/>
    <w:bookmarkStart w:id="22" w:name="iii.-როგორ-იქმნება-კანონი"/>
    <w:p>
      <w:pPr>
        <w:pStyle w:val="Heading1"/>
      </w:pPr>
      <w:r>
        <w:rPr>
          <w:lang w:val="ka"/>
        </w:rPr>
        <w:t xml:space="preserve">III. როგორ იქმნება კანონი</w:t>
      </w:r>
    </w:p>
    <w:bookmarkStart w:id="18" w:name="ორი-ტიპი-tfeu-289"/>
    <w:p>
      <w:pPr>
        <w:pStyle w:val="Heading2"/>
      </w:pPr>
      <w:r>
        <w:rPr>
          <w:lang w:val="ka"/>
        </w:rPr>
        <w:t xml:space="preserve">1. ორი ტიპი — TFEU 289</w:t>
      </w:r>
    </w:p>
    <w:p>
      <w:pPr>
        <w:pStyle w:val="BlockText"/>
      </w:pPr>
      <w:r>
        <w:rPr>
          <w:lang w:val="ka"/>
        </w:rPr>
        <w:t xml:space="preserve">„ორდინარული საკანონმდებლო პროცედურა არის რეგულაციის, დირექტივის ან გადაწყვეტილების</w:t>
      </w:r>
      <w:r>
        <w:rPr>
          <w:lang w:val="ka"/>
        </w:rPr>
        <w:t xml:space="preserve"> </w:t>
      </w:r>
      <w:r>
        <w:rPr>
          <w:b/>
          <w:bCs/>
          <w:lang w:val="ka"/>
        </w:rPr>
        <w:t xml:space="preserve">ერთობლივი</w:t>
      </w:r>
      <w:r>
        <w:rPr>
          <w:lang w:val="ka"/>
        </w:rPr>
        <w:t xml:space="preserve"> </w:t>
      </w:r>
      <w:r>
        <w:rPr>
          <w:lang w:val="ka"/>
        </w:rPr>
        <w:t xml:space="preserve">მიღება ევროპარლამენტისა და საბჭოს მიერ</w:t>
      </w:r>
      <w:r>
        <w:rPr>
          <w:lang w:val="ka"/>
        </w:rPr>
        <w:t xml:space="preserve"> </w:t>
      </w:r>
      <w:r>
        <w:rPr>
          <w:b/>
          <w:bCs/>
          <w:lang w:val="ka"/>
        </w:rPr>
        <w:t xml:space="preserve">კომისიის წინადადებით</w:t>
      </w:r>
      <w:r>
        <w:rPr>
          <w:lang w:val="ka"/>
        </w:rPr>
        <w:t xml:space="preserve">.“</w:t>
      </w:r>
    </w:p>
    <w:p>
      <w:pPr>
        <w:pStyle w:val="BlockText"/>
      </w:pPr>
      <w:r>
        <w:rPr>
          <w:i/>
          <w:iCs/>
          <w:lang w:val="ka"/>
        </w:rPr>
        <w:t xml:space="preserve">ორიგინალი:</w:t>
      </w:r>
      <w:r>
        <w:rPr>
          <w:lang w:val="ka"/>
        </w:rPr>
        <w:t xml:space="preserve"> </w:t>
      </w:r>
      <w:r>
        <w:rPr>
          <w:lang w:val="ka"/>
        </w:rPr>
        <w:t xml:space="preserve">„The ordinary legislative procedure shall consist in the joint adoption by the European Parliament and the Council of a regulation, directive or decision on a proposal from the Commission.“ —</w:t>
      </w:r>
      <w:r>
        <w:rPr>
          <w:lang w:val="ka"/>
        </w:rPr>
        <w:t xml:space="preserve"> </w:t>
      </w:r>
      <w:r>
        <w:rPr>
          <w:i/>
          <w:iCs/>
          <w:lang w:val="ka"/>
        </w:rPr>
        <w:t xml:space="preserve">TFEU მუხ. 289(1), PDF გვ. 167</w:t>
      </w:r>
    </w:p>
    <w:p>
      <w:pPr>
        <w:pStyle w:val="FirstParagraph"/>
      </w:pPr>
      <w:r>
        <w:rPr>
          <w:b/>
          <w:bCs/>
          <w:lang w:val="ka"/>
        </w:rPr>
        <w:t xml:space="preserve">სპეციალური</w:t>
      </w:r>
      <w:r>
        <w:rPr>
          <w:lang w:val="ka"/>
        </w:rPr>
        <w:t xml:space="preserve"> </w:t>
      </w:r>
      <w:r>
        <w:rPr>
          <w:lang w:val="ka"/>
        </w:rPr>
        <w:t xml:space="preserve">პროცედურა (289(2)): აქტს იღებს</w:t>
      </w:r>
      <w:r>
        <w:rPr>
          <w:lang w:val="ka"/>
        </w:rPr>
        <w:t xml:space="preserve"> </w:t>
      </w:r>
      <w:r>
        <w:rPr>
          <w:b/>
          <w:bCs/>
          <w:lang w:val="ka"/>
        </w:rPr>
        <w:t xml:space="preserve">ერთი</w:t>
      </w:r>
      <w:r>
        <w:rPr>
          <w:lang w:val="ka"/>
        </w:rPr>
        <w:t xml:space="preserve"> </w:t>
      </w:r>
      <w:r>
        <w:rPr>
          <w:lang w:val="ka"/>
        </w:rPr>
        <w:t xml:space="preserve">ორგანო, მეორის „მონაწილეობით“ — ან</w:t>
      </w:r>
      <w:r>
        <w:rPr>
          <w:lang w:val="ka"/>
        </w:rPr>
        <w:t xml:space="preserve"> </w:t>
      </w:r>
      <w:r>
        <w:rPr>
          <w:b/>
          <w:bCs/>
          <w:lang w:val="ka"/>
        </w:rPr>
        <w:t xml:space="preserve">თანხმობით</w:t>
      </w:r>
      <w:r>
        <w:rPr>
          <w:lang w:val="ka"/>
        </w:rPr>
        <w:t xml:space="preserve"> </w:t>
      </w:r>
      <w:r>
        <w:rPr>
          <w:lang w:val="ka"/>
        </w:rPr>
        <w:t xml:space="preserve">(ვეტო), ან</w:t>
      </w:r>
      <w:r>
        <w:rPr>
          <w:lang w:val="ka"/>
        </w:rPr>
        <w:t xml:space="preserve"> </w:t>
      </w:r>
      <w:r>
        <w:rPr>
          <w:b/>
          <w:bCs/>
          <w:lang w:val="ka"/>
        </w:rPr>
        <w:t xml:space="preserve">კონსულტაციით</w:t>
      </w:r>
      <w:r>
        <w:rPr>
          <w:lang w:val="ka"/>
        </w:rPr>
        <w:t xml:space="preserve"> </w:t>
      </w:r>
      <w:r>
        <w:rPr>
          <w:lang w:val="ka"/>
        </w:rPr>
        <w:t xml:space="preserve">(აზრი). რომელი პროცედურაა, ამას</w:t>
      </w:r>
      <w:r>
        <w:rPr>
          <w:lang w:val="ka"/>
        </w:rPr>
        <w:t xml:space="preserve"> </w:t>
      </w:r>
      <w:r>
        <w:rPr>
          <w:b/>
          <w:bCs/>
          <w:lang w:val="ka"/>
        </w:rPr>
        <w:t xml:space="preserve">სამართლებრივი საფუძველი</w:t>
      </w:r>
      <w:r>
        <w:rPr>
          <w:lang w:val="ka"/>
        </w:rPr>
        <w:t xml:space="preserve"> </w:t>
      </w:r>
      <w:r>
        <w:rPr>
          <w:lang w:val="ka"/>
        </w:rPr>
        <w:t xml:space="preserve">(კონკრეტული მუხლი) ამბობს. 📊 → ცხრილი 7.</w:t>
      </w:r>
    </w:p>
    <w:bookmarkEnd w:id="18"/>
    <w:bookmarkStart w:id="19" w:name="X56979406c647b66567d59d7b129e30bbfe0aedc"/>
    <w:p>
      <w:pPr>
        <w:pStyle w:val="Heading2"/>
      </w:pPr>
      <w:r>
        <w:rPr>
          <w:lang w:val="ka"/>
        </w:rPr>
        <w:t xml:space="preserve">2. TFEU 294 — სამი მოსმენა და მომრიგებელი კომიტეტი</w:t>
      </w:r>
    </w:p>
    <w:p>
      <w:pPr>
        <w:pStyle w:val="FirstParagraph"/>
      </w:pPr>
      <w:r>
        <w:rPr>
          <w:lang w:val="ka"/>
        </w:rPr>
        <w:t xml:space="preserve">ორდინარული პროცედურა არის</w:t>
      </w:r>
      <w:r>
        <w:rPr>
          <w:lang w:val="ka"/>
        </w:rPr>
        <w:t xml:space="preserve"> </w:t>
      </w:r>
      <w:r>
        <w:rPr>
          <w:b/>
          <w:bCs/>
          <w:lang w:val="ka"/>
        </w:rPr>
        <w:t xml:space="preserve">ორი პოზიციის</w:t>
      </w:r>
      <w:r>
        <w:rPr>
          <w:lang w:val="ka"/>
        </w:rPr>
        <w:t xml:space="preserve"> </w:t>
      </w:r>
      <w:r>
        <w:rPr>
          <w:lang w:val="ka"/>
        </w:rPr>
        <w:t xml:space="preserve">შეჯერება: ევროპარლამენტი და საბჭო თითო-თითო ჯერზე „თამაშობენ“, სანამ ტექსტი ერთნაირი არ გახდება. სამი ნიუანსი, რომელსაც ხშირად ავიწყდებათ:</w:t>
      </w:r>
    </w:p>
    <w:p>
      <w:pPr>
        <w:pStyle w:val="Compact"/>
        <w:numPr>
          <w:ilvl w:val="0"/>
          <w:numId w:val="1001"/>
        </w:numPr>
      </w:pPr>
      <w:r>
        <w:rPr>
          <w:b/>
          <w:bCs/>
          <w:lang w:val="ka"/>
        </w:rPr>
        <w:t xml:space="preserve">პირველ მოსმენას ვადა არ აქვს</w:t>
      </w:r>
      <w:r>
        <w:rPr>
          <w:lang w:val="ka"/>
        </w:rPr>
        <w:t xml:space="preserve"> </w:t>
      </w:r>
      <w:r>
        <w:rPr>
          <w:lang w:val="ka"/>
        </w:rPr>
        <w:t xml:space="preserve">— ვადები მხოლოდ მეორე მოსმენიდან იწყება (3 თვე, 294(7)).</w:t>
      </w:r>
    </w:p>
    <w:p>
      <w:pPr>
        <w:pStyle w:val="Compact"/>
        <w:numPr>
          <w:ilvl w:val="0"/>
          <w:numId w:val="1001"/>
        </w:numPr>
      </w:pPr>
      <w:r>
        <w:rPr>
          <w:b/>
          <w:bCs/>
          <w:lang w:val="ka"/>
        </w:rPr>
        <w:t xml:space="preserve">ევროპარლამენტის დუმილი = მიღება:</w:t>
      </w:r>
      <w:r>
        <w:rPr>
          <w:lang w:val="ka"/>
        </w:rPr>
        <w:t xml:space="preserve"> </w:t>
      </w:r>
      <w:r>
        <w:rPr>
          <w:lang w:val="ka"/>
        </w:rPr>
        <w:t xml:space="preserve">თუ მეორე მოსმენაზე 3 თვეში ევროპარლამენტი გადაწყვეტილებას არ მიიღებს, აქტი საბჭოს პოზიციის რედაქციით „მიღებულად ითვლება“ (294(7)(a)).</w:t>
      </w:r>
    </w:p>
    <w:p>
      <w:pPr>
        <w:pStyle w:val="Compact"/>
        <w:numPr>
          <w:ilvl w:val="0"/>
          <w:numId w:val="1001"/>
        </w:numPr>
      </w:pPr>
      <w:r>
        <w:rPr>
          <w:b/>
          <w:bCs/>
          <w:lang w:val="ka"/>
        </w:rPr>
        <w:t xml:space="preserve">„სრული შემადგენლობა“:</w:t>
      </w:r>
      <w:r>
        <w:rPr>
          <w:lang w:val="ka"/>
        </w:rPr>
        <w:t xml:space="preserve"> </w:t>
      </w:r>
      <w:r>
        <w:rPr>
          <w:lang w:val="ka"/>
        </w:rPr>
        <w:t xml:space="preserve">მეორე მოსმენაზე საბჭოს პოზიციის უარყოფასა ან შეცვლას ევროპარლამენტის</w:t>
      </w:r>
      <w:r>
        <w:rPr>
          <w:lang w:val="ka"/>
        </w:rPr>
        <w:t xml:space="preserve"> </w:t>
      </w:r>
      <w:r>
        <w:rPr>
          <w:b/>
          <w:bCs/>
          <w:lang w:val="ka"/>
        </w:rPr>
        <w:t xml:space="preserve">სრული შემადგენლობის</w:t>
      </w:r>
      <w:r>
        <w:rPr>
          <w:lang w:val="ka"/>
        </w:rPr>
        <w:t xml:space="preserve"> </w:t>
      </w:r>
      <w:r>
        <w:rPr>
          <w:lang w:val="ka"/>
        </w:rPr>
        <w:t xml:space="preserve">უმრავლესობა სჭირდება (294(7)(b)–(c)) — 720-დან 361.</w:t>
      </w:r>
    </w:p>
    <w:p>
      <w:pPr>
        <w:pStyle w:val="FirstParagraph"/>
      </w:pPr>
      <w:r>
        <w:rPr>
          <w:lang w:val="ka"/>
        </w:rPr>
        <w:t xml:space="preserve">📊 → ცხრილი 8 · ნაბიჯ-ნაბიჯ —</w:t>
      </w:r>
      <w:r>
        <w:rPr>
          <w:lang w:val="ka"/>
        </w:rPr>
        <w:t xml:space="preserve"> </w:t>
      </w:r>
      <w:hyperlink r:id="rId14">
        <w:r>
          <w:rPr>
            <w:rStyle w:val="Hyperlink"/>
            <w:lang w:val="ka"/>
          </w:rPr>
          <w:t xml:space="preserve">„პროცედურები“</w:t>
        </w:r>
      </w:hyperlink>
      <w:r>
        <w:rPr>
          <w:lang w:val="ka"/>
        </w:rPr>
        <w:t xml:space="preserve">.</w:t>
      </w:r>
    </w:p>
    <w:bookmarkEnd w:id="19"/>
    <w:bookmarkStart w:id="20" w:name="Xe8b9204ec879b7f4009c2cde942abe893f274e6"/>
    <w:p>
      <w:pPr>
        <w:pStyle w:val="Heading2"/>
      </w:pPr>
      <w:r>
        <w:rPr>
          <w:lang w:val="ka"/>
        </w:rPr>
        <w:t xml:space="preserve">3. ვინ იწყებს? — კომისიის „მონოპოლია“ და მისი საზღვრები</w:t>
      </w:r>
    </w:p>
    <w:p>
      <w:pPr>
        <w:pStyle w:val="FirstParagraph"/>
      </w:pPr>
      <w:r>
        <w:rPr>
          <w:lang w:val="ka"/>
        </w:rPr>
        <w:t xml:space="preserve">კომისიის წინადადებას საბჭო</w:t>
      </w:r>
      <w:r>
        <w:rPr>
          <w:lang w:val="ka"/>
        </w:rPr>
        <w:t xml:space="preserve"> </w:t>
      </w:r>
      <w:r>
        <w:rPr>
          <w:b/>
          <w:bCs/>
          <w:lang w:val="ka"/>
        </w:rPr>
        <w:t xml:space="preserve">მხოლოდ ერთხმად</w:t>
      </w:r>
      <w:r>
        <w:rPr>
          <w:lang w:val="ka"/>
        </w:rPr>
        <w:t xml:space="preserve"> </w:t>
      </w:r>
      <w:r>
        <w:rPr>
          <w:lang w:val="ka"/>
        </w:rPr>
        <w:t xml:space="preserve">ცვლის (TFEU 293(1)) — ეს იცავს კომისიის ინიციატივას. ევროპარლამენტს საკუთარი ინიციატივა</w:t>
      </w:r>
      <w:r>
        <w:rPr>
          <w:lang w:val="ka"/>
        </w:rPr>
        <w:t xml:space="preserve"> </w:t>
      </w:r>
      <w:r>
        <w:rPr>
          <w:b/>
          <w:bCs/>
          <w:lang w:val="ka"/>
        </w:rPr>
        <w:t xml:space="preserve">არ</w:t>
      </w:r>
      <w:r>
        <w:rPr>
          <w:lang w:val="ka"/>
        </w:rPr>
        <w:t xml:space="preserve"> </w:t>
      </w:r>
      <w:r>
        <w:rPr>
          <w:lang w:val="ka"/>
        </w:rPr>
        <w:t xml:space="preserve">აქვს, მაგრამ შეუძლია</w:t>
      </w:r>
      <w:r>
        <w:rPr>
          <w:lang w:val="ka"/>
        </w:rPr>
        <w:t xml:space="preserve"> </w:t>
      </w:r>
      <w:r>
        <w:rPr>
          <w:b/>
          <w:bCs/>
          <w:lang w:val="ka"/>
        </w:rPr>
        <w:t xml:space="preserve">სთხოვოს</w:t>
      </w:r>
      <w:r>
        <w:rPr>
          <w:lang w:val="ka"/>
        </w:rPr>
        <w:t xml:space="preserve"> </w:t>
      </w:r>
      <w:r>
        <w:rPr>
          <w:lang w:val="ka"/>
        </w:rPr>
        <w:t xml:space="preserve">კომისიას (TFEU 225); იგივე შეუძლია საბჭოს (241) და მინიმუმ</w:t>
      </w:r>
      <w:r>
        <w:rPr>
          <w:lang w:val="ka"/>
        </w:rPr>
        <w:t xml:space="preserve"> </w:t>
      </w:r>
      <w:r>
        <w:rPr>
          <w:b/>
          <w:bCs/>
          <w:lang w:val="ka"/>
        </w:rPr>
        <w:t xml:space="preserve">მილიონ</w:t>
      </w:r>
      <w:r>
        <w:rPr>
          <w:lang w:val="ka"/>
        </w:rPr>
        <w:t xml:space="preserve"> </w:t>
      </w:r>
      <w:r>
        <w:rPr>
          <w:lang w:val="ka"/>
        </w:rPr>
        <w:t xml:space="preserve">მოქალაქეს (TEU 11(4)). კომისია ვალდებული არ არის — მაგრამ უარის</w:t>
      </w:r>
      <w:r>
        <w:rPr>
          <w:lang w:val="ka"/>
        </w:rPr>
        <w:t xml:space="preserve"> </w:t>
      </w:r>
      <w:r>
        <w:rPr>
          <w:b/>
          <w:bCs/>
          <w:lang w:val="ka"/>
        </w:rPr>
        <w:t xml:space="preserve">მიზეზი</w:t>
      </w:r>
      <w:r>
        <w:rPr>
          <w:lang w:val="ka"/>
        </w:rPr>
        <w:t xml:space="preserve"> </w:t>
      </w:r>
      <w:r>
        <w:rPr>
          <w:lang w:val="ka"/>
        </w:rPr>
        <w:t xml:space="preserve">ევროპარლამენტსა და საბჭოს უნდა აცნობოს.</w:t>
      </w:r>
      <w:r>
        <w:rPr>
          <w:lang w:val="ka"/>
        </w:rPr>
        <w:t xml:space="preserve"> </w:t>
      </w:r>
      <w:r>
        <w:rPr>
          <w:i/>
          <w:iCs/>
          <w:lang w:val="ka"/>
        </w:rPr>
        <w:t xml:space="preserve">(გაბრიჩიძე 2023, გვ. 56–57, პარ. 175–177)</w:t>
      </w:r>
    </w:p>
    <w:bookmarkEnd w:id="20"/>
    <w:bookmarkStart w:id="21" w:name="კონსულტაცია-მხოლოდ-აზრი"/>
    <w:p>
      <w:pPr>
        <w:pStyle w:val="Heading2"/>
      </w:pPr>
      <w:r>
        <w:rPr>
          <w:lang w:val="ka"/>
        </w:rPr>
        <w:t xml:space="preserve">4. ⚖️ კონსულტაცია — „მხოლოდ“ აზრი?</w:t>
      </w:r>
    </w:p>
    <w:p>
      <w:pPr>
        <w:pStyle w:val="FirstParagraph"/>
      </w:pPr>
      <w:r>
        <w:rPr>
          <w:lang w:val="ka"/>
        </w:rPr>
        <w:t xml:space="preserve">1979 წელს საბჭომ რეგულაცია მიიღო ისე, რომ ევროპარლამენტის აზრს</w:t>
      </w:r>
      <w:r>
        <w:rPr>
          <w:lang w:val="ka"/>
        </w:rPr>
        <w:t xml:space="preserve"> </w:t>
      </w:r>
      <w:r>
        <w:rPr>
          <w:b/>
          <w:bCs/>
          <w:lang w:val="ka"/>
        </w:rPr>
        <w:t xml:space="preserve">არ დაელოდა</w:t>
      </w:r>
      <w:r>
        <w:rPr>
          <w:lang w:val="ka"/>
        </w:rPr>
        <w:t xml:space="preserve"> </w:t>
      </w:r>
      <w:r>
        <w:rPr>
          <w:lang w:val="ka"/>
        </w:rPr>
        <w:t xml:space="preserve">— მიუხედავად იმისა, რომ ხელშეკრულება კონსულტაციას ითხოვდა. სასამართლომ რეგულაცია</w:t>
      </w:r>
      <w:r>
        <w:rPr>
          <w:lang w:val="ka"/>
        </w:rPr>
        <w:t xml:space="preserve"> </w:t>
      </w:r>
      <w:r>
        <w:rPr>
          <w:b/>
          <w:bCs/>
          <w:lang w:val="ka"/>
        </w:rPr>
        <w:t xml:space="preserve">გააუქმა</w:t>
      </w:r>
      <w:r>
        <w:rPr>
          <w:lang w:val="ka"/>
        </w:rPr>
        <w:t xml:space="preserve">:</w:t>
      </w:r>
    </w:p>
    <w:p>
      <w:pPr>
        <w:pStyle w:val="BlockText"/>
      </w:pPr>
      <w:r>
        <w:rPr>
          <w:lang w:val="ka"/>
        </w:rPr>
        <w:t xml:space="preserve">„…[კონსულტაცია] არის საშუალება, რომელიც პარლამენტს საშუალებას აძლევს</w:t>
      </w:r>
      <w:r>
        <w:rPr>
          <w:lang w:val="ka"/>
        </w:rPr>
        <w:t xml:space="preserve"> </w:t>
      </w:r>
      <w:r>
        <w:rPr>
          <w:b/>
          <w:bCs/>
          <w:lang w:val="ka"/>
        </w:rPr>
        <w:t xml:space="preserve">რეალურად</w:t>
      </w:r>
      <w:r>
        <w:rPr>
          <w:lang w:val="ka"/>
        </w:rPr>
        <w:t xml:space="preserve"> </w:t>
      </w:r>
      <w:r>
        <w:rPr>
          <w:lang w:val="ka"/>
        </w:rPr>
        <w:t xml:space="preserve">მიიღოს მონაწილეობა საკანონმდებლო პროცესში. […] ის ასახავს</w:t>
      </w:r>
      <w:r>
        <w:rPr>
          <w:lang w:val="ka"/>
        </w:rPr>
        <w:t xml:space="preserve"> </w:t>
      </w:r>
      <w:r>
        <w:rPr>
          <w:b/>
          <w:bCs/>
          <w:lang w:val="ka"/>
        </w:rPr>
        <w:t xml:space="preserve">ფუნდამენტურ დემოკრატიულ პრინციპს</w:t>
      </w:r>
      <w:r>
        <w:rPr>
          <w:lang w:val="ka"/>
        </w:rPr>
        <w:t xml:space="preserve">, რომ ხალხი ხელისუფლების განხორციელებაში წარმომადგენლობითი ასამბლეის მეშვეობით მონაწილეობს.“</w:t>
      </w:r>
    </w:p>
    <w:p>
      <w:pPr>
        <w:pStyle w:val="BlockText"/>
      </w:pPr>
      <w:r>
        <w:rPr>
          <w:i/>
          <w:iCs/>
          <w:lang w:val="ka"/>
        </w:rPr>
        <w:t xml:space="preserve">ორიგინალი:</w:t>
      </w:r>
      <w:r>
        <w:rPr>
          <w:lang w:val="ka"/>
        </w:rPr>
        <w:t xml:space="preserve"> </w:t>
      </w:r>
      <w:r>
        <w:rPr>
          <w:lang w:val="ka"/>
        </w:rPr>
        <w:t xml:space="preserve">„…is the means which allows the Parliament to play an actual part in the legislative process of the Community. Such power represents an essential factor in the institutional balance intended by the Treaty. Although limited, it reflects at Community level the fundamental democratic principle that the peoples should take part in the exercise of power through the intermediary of a representative assembly.“</w:t>
      </w:r>
    </w:p>
    <w:p>
      <w:pPr>
        <w:pStyle w:val="BlockText"/>
      </w:pPr>
      <w:r>
        <w:rPr>
          <w:lang w:val="ka"/>
        </w:rPr>
        <w:t xml:space="preserve">—</w:t>
      </w:r>
      <w:r>
        <w:rPr>
          <w:lang w:val="ka"/>
        </w:rPr>
        <w:t xml:space="preserve"> </w:t>
      </w:r>
      <w:r>
        <w:rPr>
          <w:i/>
          <w:iCs/>
          <w:lang w:val="ka"/>
        </w:rPr>
        <w:t xml:space="preserve">CJEU, 138/79, Roquette Frères v Council (Isoglucose), ECLI:EU:C:1980:249, პარ. 33, PDF გვ. 27</w:t>
      </w:r>
    </w:p>
    <w:p>
      <w:pPr>
        <w:pStyle w:val="FirstParagraph"/>
      </w:pPr>
      <w:r>
        <w:rPr>
          <w:lang w:val="ka"/>
        </w:rPr>
        <w:t xml:space="preserve">დეტალები და არგუმენტები —</w:t>
      </w:r>
      <w:r>
        <w:rPr>
          <w:lang w:val="ka"/>
        </w:rPr>
        <w:t xml:space="preserve"> </w:t>
      </w:r>
      <w:r>
        <w:rPr>
          <w:b/>
          <w:bCs/>
          <w:lang w:val="ka"/>
        </w:rPr>
        <w:t xml:space="preserve">სემინარზე</w:t>
      </w:r>
      <w:r>
        <w:rPr>
          <w:lang w:val="ka"/>
        </w:rPr>
        <w:t xml:space="preserve">.</w:t>
      </w:r>
    </w:p>
    <w:p>
      <w:r>
        <w:pict>
          <v:rect style="width:0;height:1.5pt" o:hralign="center" o:hrstd="t" o:hr="t"/>
        </w:pict>
      </w:r>
    </w:p>
    <w:bookmarkEnd w:id="21"/>
    <w:bookmarkEnd w:id="22"/>
    <w:bookmarkStart w:id="23" w:name="iv.-წყაროს-კრიტიკა-წიგნი-და-ხელშეკრულება"/>
    <w:p>
      <w:pPr>
        <w:pStyle w:val="Heading1"/>
      </w:pPr>
      <w:r>
        <w:rPr>
          <w:lang w:val="ka"/>
        </w:rPr>
        <w:t xml:space="preserve">IV. 🔎 წყაროს კრიტიკა — წიგნი და ხელშეკრულება</w:t>
      </w:r>
    </w:p>
    <w:p>
      <w:pPr>
        <w:pStyle w:val="FirstParagraph"/>
      </w:pPr>
      <w:r>
        <w:rPr>
          <w:lang w:val="ka"/>
        </w:rPr>
        <w:t xml:space="preserve">გაბრიჩიძე 2023-ის V თავი ამ კვირის ძირითადი საკითხავია. ის კარგად ხსნის ლოგიკას, მაგრამ რამდენიმე</w:t>
      </w:r>
      <w:r>
        <w:rPr>
          <w:lang w:val="ka"/>
        </w:rPr>
        <w:t xml:space="preserve"> </w:t>
      </w:r>
      <w:r>
        <w:rPr>
          <w:b/>
          <w:bCs/>
          <w:lang w:val="ka"/>
        </w:rPr>
        <w:t xml:space="preserve">მუხლის ნომერი</w:t>
      </w:r>
      <w:r>
        <w:rPr>
          <w:lang w:val="ka"/>
        </w:rPr>
        <w:t xml:space="preserve"> </w:t>
      </w:r>
      <w:r>
        <w:rPr>
          <w:lang w:val="ka"/>
        </w:rPr>
        <w:t xml:space="preserve">და ციფრი არ ემთხვევა ხელშეკრულების ტექსტს. გამოცდაზე —</w:t>
      </w:r>
      <w:r>
        <w:rPr>
          <w:lang w:val="ka"/>
        </w:rPr>
        <w:t xml:space="preserve"> </w:t>
      </w:r>
      <w:r>
        <w:rPr>
          <w:b/>
          <w:bCs/>
          <w:lang w:val="ka"/>
        </w:rPr>
        <w:t xml:space="preserve">ხელშეკრულების</w:t>
      </w:r>
      <w:r>
        <w:rPr>
          <w:lang w:val="ka"/>
        </w:rPr>
        <w:t xml:space="preserve"> </w:t>
      </w:r>
      <w:r>
        <w:rPr>
          <w:lang w:val="ka"/>
        </w:rPr>
        <w:t xml:space="preserve">ვერსია.</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ka"/>
              </w:rPr>
              <w:t xml:space="preserve">წიგნში (გვ., პარ.)</w:t>
            </w:r>
          </w:p>
        </w:tc>
        <w:tc>
          <w:tcPr/>
          <w:p>
            <w:pPr>
              <w:pStyle w:val="Compact"/>
            </w:pPr>
            <w:r>
              <w:rPr>
                <w:lang w:val="ka"/>
              </w:rPr>
              <w:t xml:space="preserve">ხელშეკრულება / ოფიციალური წყარო</w:t>
            </w:r>
          </w:p>
        </w:tc>
      </w:tr>
      <w:tr>
        <w:tc>
          <w:tcPr/>
          <w:p>
            <w:pPr>
              <w:pStyle w:val="Compact"/>
            </w:pPr>
            <w:r>
              <w:rPr>
                <w:lang w:val="ka"/>
              </w:rPr>
              <w:t xml:space="preserve">ევროპულ საბჭოში შედის „</w:t>
            </w:r>
            <w:r>
              <w:rPr>
                <w:b/>
                <w:bCs/>
                <w:lang w:val="ka"/>
              </w:rPr>
              <w:t xml:space="preserve">ევროპის კავშირის</w:t>
            </w:r>
            <w:r>
              <w:rPr>
                <w:lang w:val="ka"/>
              </w:rPr>
              <w:t xml:space="preserve"> </w:t>
            </w:r>
            <w:r>
              <w:rPr>
                <w:lang w:val="ka"/>
              </w:rPr>
              <w:t xml:space="preserve">პრეზიდენტი“ (42, პარ. 132)</w:t>
            </w:r>
          </w:p>
        </w:tc>
        <w:tc>
          <w:tcPr/>
          <w:p>
            <w:pPr>
              <w:pStyle w:val="Compact"/>
            </w:pPr>
            <w:r>
              <w:rPr>
                <w:b/>
                <w:bCs/>
                <w:lang w:val="ka"/>
              </w:rPr>
              <w:t xml:space="preserve">ევროპული საბჭოს</w:t>
            </w:r>
            <w:r>
              <w:rPr>
                <w:lang w:val="ka"/>
              </w:rPr>
              <w:t xml:space="preserve"> </w:t>
            </w:r>
            <w:r>
              <w:rPr>
                <w:lang w:val="ka"/>
              </w:rPr>
              <w:t xml:space="preserve">პრეზიდენტი — TEU 15(2)</w:t>
            </w:r>
          </w:p>
        </w:tc>
      </w:tr>
      <w:tr>
        <w:tc>
          <w:tcPr/>
          <w:p>
            <w:pPr>
              <w:pStyle w:val="Compact"/>
            </w:pPr>
            <w:r>
              <w:rPr>
                <w:lang w:val="ka"/>
              </w:rPr>
              <w:t xml:space="preserve">საბჭოს QMV-ის ზოგადი წესი — „16(</w:t>
            </w:r>
            <w:r>
              <w:rPr>
                <w:b/>
                <w:bCs/>
                <w:lang w:val="ka"/>
              </w:rPr>
              <w:t xml:space="preserve">6</w:t>
            </w:r>
            <w:r>
              <w:rPr>
                <w:lang w:val="ka"/>
              </w:rPr>
              <w:t xml:space="preserve">)“ (46, პარ. 142); 55%/65% — „16(</w:t>
            </w:r>
            <w:r>
              <w:rPr>
                <w:b/>
                <w:bCs/>
                <w:lang w:val="ka"/>
              </w:rPr>
              <w:t xml:space="preserve">5</w:t>
            </w:r>
            <w:r>
              <w:rPr>
                <w:lang w:val="ka"/>
              </w:rPr>
              <w:t xml:space="preserve">)“ (47, პარ. 144)</w:t>
            </w:r>
          </w:p>
        </w:tc>
        <w:tc>
          <w:tcPr/>
          <w:p>
            <w:pPr>
              <w:pStyle w:val="Compact"/>
            </w:pPr>
            <w:r>
              <w:rPr>
                <w:b/>
                <w:bCs/>
                <w:lang w:val="ka"/>
              </w:rPr>
              <w:t xml:space="preserve">16(3)</w:t>
            </w:r>
            <w:r>
              <w:rPr>
                <w:lang w:val="ka"/>
              </w:rPr>
              <w:t xml:space="preserve"> </w:t>
            </w:r>
            <w:r>
              <w:rPr>
                <w:lang w:val="ka"/>
              </w:rPr>
              <w:t xml:space="preserve">და</w:t>
            </w:r>
            <w:r>
              <w:rPr>
                <w:lang w:val="ka"/>
              </w:rPr>
              <w:t xml:space="preserve"> </w:t>
            </w:r>
            <w:r>
              <w:rPr>
                <w:b/>
                <w:bCs/>
                <w:lang w:val="ka"/>
              </w:rPr>
              <w:t xml:space="preserve">16(4)</w:t>
            </w:r>
            <w:r>
              <w:rPr>
                <w:lang w:val="ka"/>
              </w:rPr>
              <w:t xml:space="preserve">; 16(5) — გარდამავალი დებულებები, 16(6) — შემადგენლობები</w:t>
            </w:r>
          </w:p>
        </w:tc>
      </w:tr>
      <w:tr>
        <w:tc>
          <w:tcPr/>
          <w:p>
            <w:pPr>
              <w:pStyle w:val="Compact"/>
            </w:pPr>
            <w:r>
              <w:rPr>
                <w:lang w:val="ka"/>
              </w:rPr>
              <w:t xml:space="preserve">„</w:t>
            </w:r>
            <w:r>
              <w:rPr>
                <w:b/>
                <w:bCs/>
                <w:lang w:val="ka"/>
              </w:rPr>
              <w:t xml:space="preserve">ევროპული საბჭოს</w:t>
            </w:r>
            <w:r>
              <w:rPr>
                <w:lang w:val="ka"/>
              </w:rPr>
              <w:t xml:space="preserve"> </w:t>
            </w:r>
            <w:r>
              <w:rPr>
                <w:lang w:val="ka"/>
              </w:rPr>
              <w:t xml:space="preserve">2009/908/EU გადაწყვეტილებით“ — ტრიო, 18 თვე (45, პარ. 140)</w:t>
            </w:r>
          </w:p>
        </w:tc>
        <w:tc>
          <w:tcPr/>
          <w:p>
            <w:pPr>
              <w:pStyle w:val="Compact"/>
            </w:pPr>
            <w:r>
              <w:rPr>
                <w:lang w:val="ka"/>
              </w:rPr>
              <w:t xml:space="preserve">ტრიოს წესი —</w:t>
            </w:r>
            <w:r>
              <w:rPr>
                <w:lang w:val="ka"/>
              </w:rPr>
              <w:t xml:space="preserve"> </w:t>
            </w:r>
            <w:r>
              <w:rPr>
                <w:b/>
                <w:bCs/>
                <w:lang w:val="ka"/>
              </w:rPr>
              <w:t xml:space="preserve">ევროპული საბჭოს</w:t>
            </w:r>
            <w:r>
              <w:rPr>
                <w:lang w:val="ka"/>
              </w:rPr>
              <w:t xml:space="preserve"> </w:t>
            </w:r>
            <w:r>
              <w:rPr>
                <w:lang w:val="ka"/>
              </w:rPr>
              <w:t xml:space="preserve">გადაწყვ.</w:t>
            </w:r>
            <w:r>
              <w:rPr>
                <w:lang w:val="ka"/>
              </w:rPr>
              <w:t xml:space="preserve"> </w:t>
            </w:r>
            <w:r>
              <w:rPr>
                <w:b/>
                <w:bCs/>
                <w:lang w:val="ka"/>
              </w:rPr>
              <w:t xml:space="preserve">2009/881/EU</w:t>
            </w:r>
            <w:r>
              <w:rPr>
                <w:lang w:val="ka"/>
              </w:rPr>
              <w:t xml:space="preserve">, მუხ. 1; რიგი —</w:t>
            </w:r>
            <w:r>
              <w:rPr>
                <w:lang w:val="ka"/>
              </w:rPr>
              <w:t xml:space="preserve"> </w:t>
            </w:r>
            <w:r>
              <w:rPr>
                <w:b/>
                <w:bCs/>
                <w:lang w:val="ka"/>
              </w:rPr>
              <w:t xml:space="preserve">საბჭოს</w:t>
            </w:r>
            <w:r>
              <w:rPr>
                <w:lang w:val="ka"/>
              </w:rPr>
              <w:t xml:space="preserve"> </w:t>
            </w:r>
            <w:r>
              <w:rPr>
                <w:lang w:val="ka"/>
              </w:rPr>
              <w:t xml:space="preserve">გადაწყვ. 2009/908/EU (შეცვლ. 2016/1316)</w:t>
            </w:r>
          </w:p>
        </w:tc>
      </w:tr>
      <w:tr>
        <w:tc>
          <w:tcPr/>
          <w:p>
            <w:pPr>
              <w:pStyle w:val="Compact"/>
            </w:pPr>
            <w:r>
              <w:rPr>
                <w:lang w:val="ka"/>
              </w:rPr>
              <w:t xml:space="preserve">იოანინა: ევროკავშირის „</w:t>
            </w:r>
            <w:r>
              <w:rPr>
                <w:b/>
                <w:bCs/>
                <w:lang w:val="ka"/>
              </w:rPr>
              <w:t xml:space="preserve">სრული</w:t>
            </w:r>
            <w:r>
              <w:rPr>
                <w:lang w:val="ka"/>
              </w:rPr>
              <w:t xml:space="preserve"> </w:t>
            </w:r>
            <w:r>
              <w:rPr>
                <w:lang w:val="ka"/>
              </w:rPr>
              <w:t xml:space="preserve">მოსახლეობის“ 55%; თითოეულს შეუძლია „</w:t>
            </w:r>
            <w:r>
              <w:rPr>
                <w:b/>
                <w:bCs/>
                <w:lang w:val="ka"/>
              </w:rPr>
              <w:t xml:space="preserve">ბლოკირება</w:t>
            </w:r>
            <w:r>
              <w:rPr>
                <w:lang w:val="ka"/>
              </w:rPr>
              <w:t xml:space="preserve">“ (48, პარ. 146)</w:t>
            </w:r>
          </w:p>
        </w:tc>
        <w:tc>
          <w:tcPr/>
          <w:p>
            <w:pPr>
              <w:pStyle w:val="Compact"/>
            </w:pPr>
            <w:r>
              <w:rPr>
                <w:lang w:val="ka"/>
              </w:rPr>
              <w:t xml:space="preserve">ბლოკირებისთვის</w:t>
            </w:r>
            <w:r>
              <w:rPr>
                <w:lang w:val="ka"/>
              </w:rPr>
              <w:t xml:space="preserve"> </w:t>
            </w:r>
            <w:r>
              <w:rPr>
                <w:b/>
                <w:bCs/>
                <w:lang w:val="ka"/>
              </w:rPr>
              <w:t xml:space="preserve">საჭირო</w:t>
            </w:r>
            <w:r>
              <w:rPr>
                <w:lang w:val="ka"/>
              </w:rPr>
              <w:t xml:space="preserve"> </w:t>
            </w:r>
            <w:r>
              <w:rPr>
                <w:lang w:val="ka"/>
              </w:rPr>
              <w:t xml:space="preserve">მოსახლეობის/წევრთა 55%; შედეგი — საბჭო „</w:t>
            </w:r>
            <w:r>
              <w:rPr>
                <w:b/>
                <w:bCs/>
                <w:lang w:val="ka"/>
              </w:rPr>
              <w:t xml:space="preserve">shall discuss the issue</w:t>
            </w:r>
            <w:r>
              <w:rPr>
                <w:lang w:val="ka"/>
              </w:rPr>
              <w:t xml:space="preserve">“ (დეკლარაცია №7, მუხ. 4–5, PDF გვ. 332)</w:t>
            </w:r>
          </w:p>
        </w:tc>
      </w:tr>
      <w:tr>
        <w:tc>
          <w:tcPr/>
          <w:p>
            <w:pPr>
              <w:pStyle w:val="Compact"/>
            </w:pPr>
            <w:r>
              <w:rPr>
                <w:lang w:val="ka"/>
              </w:rPr>
              <w:t xml:space="preserve">საკონსულტაციო პროცედურის მაგალითები — TFEU</w:t>
            </w:r>
            <w:r>
              <w:rPr>
                <w:lang w:val="ka"/>
              </w:rPr>
              <w:t xml:space="preserve"> </w:t>
            </w:r>
            <w:r>
              <w:rPr>
                <w:b/>
                <w:bCs/>
                <w:lang w:val="ka"/>
              </w:rPr>
              <w:t xml:space="preserve">19(1)</w:t>
            </w:r>
            <w:r>
              <w:rPr>
                <w:lang w:val="ka"/>
              </w:rPr>
              <w:t xml:space="preserve">,</w:t>
            </w:r>
            <w:r>
              <w:rPr>
                <w:lang w:val="ka"/>
              </w:rPr>
              <w:t xml:space="preserve"> </w:t>
            </w:r>
            <w:r>
              <w:rPr>
                <w:b/>
                <w:bCs/>
                <w:lang w:val="ka"/>
              </w:rPr>
              <w:t xml:space="preserve">25</w:t>
            </w:r>
            <w:r>
              <w:rPr>
                <w:lang w:val="ka"/>
              </w:rPr>
              <w:t xml:space="preserve"> </w:t>
            </w:r>
            <w:r>
              <w:rPr>
                <w:lang w:val="ka"/>
              </w:rPr>
              <w:t xml:space="preserve">(65, პარ. 205)</w:t>
            </w:r>
          </w:p>
        </w:tc>
        <w:tc>
          <w:tcPr/>
          <w:p>
            <w:pPr>
              <w:pStyle w:val="Compact"/>
            </w:pPr>
            <w:r>
              <w:rPr>
                <w:lang w:val="ka"/>
              </w:rPr>
              <w:t xml:space="preserve">ორივეში — ევროპარლამენტის „</w:t>
            </w:r>
            <w:r>
              <w:rPr>
                <w:b/>
                <w:bCs/>
                <w:lang w:val="ka"/>
              </w:rPr>
              <w:t xml:space="preserve">consent</w:t>
            </w:r>
            <w:r>
              <w:rPr>
                <w:lang w:val="ka"/>
              </w:rPr>
              <w:t xml:space="preserve">“ (PDF გვ. 51, 54); კონსულტაცია — მაგ.</w:t>
            </w:r>
            <w:r>
              <w:rPr>
                <w:lang w:val="ka"/>
              </w:rPr>
              <w:t xml:space="preserve"> </w:t>
            </w:r>
            <w:r>
              <w:rPr>
                <w:b/>
                <w:bCs/>
                <w:lang w:val="ka"/>
              </w:rPr>
              <w:t xml:space="preserve">22(1)</w:t>
            </w:r>
          </w:p>
        </w:tc>
      </w:tr>
      <w:tr>
        <w:tc>
          <w:tcPr/>
          <w:p>
            <w:pPr>
              <w:pStyle w:val="Compact"/>
            </w:pPr>
            <w:r>
              <w:rPr>
                <w:lang w:val="ka"/>
              </w:rPr>
              <w:t xml:space="preserve">ევროპარლამენტის არჩევნებში მონაწილეობა საცხოვრებელ ქვეყანაში — TFEU „22(</w:t>
            </w:r>
            <w:r>
              <w:rPr>
                <w:b/>
                <w:bCs/>
                <w:lang w:val="ka"/>
              </w:rPr>
              <w:t xml:space="preserve">1</w:t>
            </w:r>
            <w:r>
              <w:rPr>
                <w:lang w:val="ka"/>
              </w:rPr>
              <w:t xml:space="preserve">)“ (62, პარ. 191)</w:t>
            </w:r>
          </w:p>
        </w:tc>
        <w:tc>
          <w:tcPr/>
          <w:p>
            <w:pPr>
              <w:pStyle w:val="Compact"/>
            </w:pPr>
            <w:r>
              <w:rPr>
                <w:b/>
                <w:bCs/>
                <w:lang w:val="ka"/>
              </w:rPr>
              <w:t xml:space="preserve">22(2)</w:t>
            </w:r>
            <w:r>
              <w:rPr>
                <w:lang w:val="ka"/>
              </w:rPr>
              <w:t xml:space="preserve">; 22(1) — მუნიციპალური არჩევნები (PDF გვ. 53)</w:t>
            </w:r>
          </w:p>
        </w:tc>
      </w:tr>
      <w:tr>
        <w:tc>
          <w:tcPr/>
          <w:p>
            <w:pPr>
              <w:pStyle w:val="Compact"/>
            </w:pPr>
            <w:r>
              <w:rPr>
                <w:lang w:val="ka"/>
              </w:rPr>
              <w:t xml:space="preserve">ევროპარლამენტის პრეზიდენტის</w:t>
            </w:r>
            <w:r>
              <w:rPr>
                <w:lang w:val="ka"/>
              </w:rPr>
              <w:t xml:space="preserve"> </w:t>
            </w:r>
            <w:r>
              <w:rPr>
                <w:b/>
                <w:bCs/>
                <w:lang w:val="ka"/>
              </w:rPr>
              <w:t xml:space="preserve">2,5 წლიანი</w:t>
            </w:r>
            <w:r>
              <w:rPr>
                <w:lang w:val="ka"/>
              </w:rPr>
              <w:t xml:space="preserve"> </w:t>
            </w:r>
            <w:r>
              <w:rPr>
                <w:lang w:val="ka"/>
              </w:rPr>
              <w:t xml:space="preserve">ვადა — „TEU 14(4)“ (62, პარ. 193)</w:t>
            </w:r>
          </w:p>
        </w:tc>
        <w:tc>
          <w:tcPr/>
          <w:p>
            <w:pPr>
              <w:pStyle w:val="Compact"/>
            </w:pPr>
            <w:r>
              <w:rPr>
                <w:lang w:val="ka"/>
              </w:rPr>
              <w:t xml:space="preserve">14(4) ვადას</w:t>
            </w:r>
            <w:r>
              <w:rPr>
                <w:lang w:val="ka"/>
              </w:rPr>
              <w:t xml:space="preserve"> </w:t>
            </w:r>
            <w:r>
              <w:rPr>
                <w:b/>
                <w:bCs/>
                <w:lang w:val="ka"/>
              </w:rPr>
              <w:t xml:space="preserve">არ</w:t>
            </w:r>
            <w:r>
              <w:rPr>
                <w:lang w:val="ka"/>
              </w:rPr>
              <w:t xml:space="preserve"> </w:t>
            </w:r>
            <w:r>
              <w:rPr>
                <w:lang w:val="ka"/>
              </w:rPr>
              <w:t xml:space="preserve">ადგენს (წიგნის ციფრი — ევროპარლამენტის რეგლამენტიდან)</w:t>
            </w:r>
          </w:p>
        </w:tc>
      </w:tr>
      <w:tr>
        <w:tc>
          <w:tcPr/>
          <w:p>
            <w:pPr>
              <w:pStyle w:val="Compact"/>
            </w:pPr>
            <w:r>
              <w:rPr>
                <w:lang w:val="ka"/>
              </w:rPr>
              <w:t xml:space="preserve">საბჭოს სარჩელები კომისიისა და ევროპარლამენტის წინააღმდეგ — TFEU „</w:t>
            </w:r>
            <w:r>
              <w:rPr>
                <w:b/>
                <w:bCs/>
                <w:lang w:val="ka"/>
              </w:rPr>
              <w:t xml:space="preserve">258</w:t>
            </w:r>
            <w:r>
              <w:rPr>
                <w:lang w:val="ka"/>
              </w:rPr>
              <w:t xml:space="preserve"> </w:t>
            </w:r>
            <w:r>
              <w:rPr>
                <w:lang w:val="ka"/>
              </w:rPr>
              <w:t xml:space="preserve">და 263“ (51, პარ. 160)</w:t>
            </w:r>
          </w:p>
        </w:tc>
        <w:tc>
          <w:tcPr/>
          <w:p>
            <w:pPr>
              <w:pStyle w:val="Compact"/>
            </w:pPr>
            <w:r>
              <w:rPr>
                <w:b/>
                <w:bCs/>
                <w:lang w:val="ka"/>
              </w:rPr>
              <w:t xml:space="preserve">263</w:t>
            </w:r>
            <w:r>
              <w:rPr>
                <w:lang w:val="ka"/>
              </w:rPr>
              <w:t xml:space="preserve"> </w:t>
            </w:r>
            <w:r>
              <w:rPr>
                <w:lang w:val="ka"/>
              </w:rPr>
              <w:t xml:space="preserve">(ბათილობა) და</w:t>
            </w:r>
            <w:r>
              <w:rPr>
                <w:lang w:val="ka"/>
              </w:rPr>
              <w:t xml:space="preserve"> </w:t>
            </w:r>
            <w:r>
              <w:rPr>
                <w:b/>
                <w:bCs/>
                <w:lang w:val="ka"/>
              </w:rPr>
              <w:t xml:space="preserve">265</w:t>
            </w:r>
            <w:r>
              <w:rPr>
                <w:lang w:val="ka"/>
              </w:rPr>
              <w:t xml:space="preserve"> </w:t>
            </w:r>
            <w:r>
              <w:rPr>
                <w:lang w:val="ka"/>
              </w:rPr>
              <w:t xml:space="preserve">(უმოქმედობა); 258 — სახელმწიფოს წინააღმდეგ</w:t>
            </w:r>
          </w:p>
        </w:tc>
      </w:tr>
      <w:tr>
        <w:tc>
          <w:tcPr/>
          <w:p>
            <w:pPr>
              <w:pStyle w:val="Compact"/>
            </w:pPr>
            <w:r>
              <w:rPr>
                <w:lang w:val="ka"/>
              </w:rPr>
              <w:t xml:space="preserve">ევროპარლამენტი —</w:t>
            </w:r>
            <w:r>
              <w:rPr>
                <w:lang w:val="ka"/>
              </w:rPr>
              <w:t xml:space="preserve"> </w:t>
            </w:r>
            <w:r>
              <w:rPr>
                <w:b/>
                <w:bCs/>
                <w:lang w:val="ka"/>
              </w:rPr>
              <w:t xml:space="preserve">705</w:t>
            </w:r>
            <w:r>
              <w:rPr>
                <w:lang w:val="ka"/>
              </w:rPr>
              <w:t xml:space="preserve"> </w:t>
            </w:r>
            <w:r>
              <w:rPr>
                <w:lang w:val="ka"/>
              </w:rPr>
              <w:t xml:space="preserve">წევრი (60, პარ. 187)</w:t>
            </w:r>
          </w:p>
        </w:tc>
        <w:tc>
          <w:tcPr/>
          <w:p>
            <w:pPr>
              <w:pStyle w:val="Compact"/>
            </w:pPr>
            <w:r>
              <w:rPr>
                <w:lang w:val="ka"/>
              </w:rPr>
              <w:t xml:space="preserve">2024–2029:</w:t>
            </w:r>
            <w:r>
              <w:rPr>
                <w:lang w:val="ka"/>
              </w:rPr>
              <w:t xml:space="preserve"> </w:t>
            </w:r>
            <w:r>
              <w:rPr>
                <w:b/>
                <w:bCs/>
                <w:lang w:val="ka"/>
              </w:rPr>
              <w:t xml:space="preserve">720</w:t>
            </w:r>
            <w:r>
              <w:rPr>
                <w:lang w:val="ka"/>
              </w:rPr>
              <w:t xml:space="preserve"> </w:t>
            </w:r>
            <w:r>
              <w:rPr>
                <w:lang w:val="ka"/>
              </w:rPr>
              <w:t xml:space="preserve">— ევრ. საბჭოს გადაწყვ. (EU) 2023/2061, მუხ. 3</w:t>
            </w:r>
          </w:p>
        </w:tc>
      </w:tr>
    </w:tbl>
    <w:p>
      <w:pPr>
        <w:pStyle w:val="BodyText"/>
      </w:pPr>
      <w:r>
        <w:rPr>
          <w:i/>
          <w:iCs/>
          <w:lang w:val="ka"/>
        </w:rPr>
        <w:t xml:space="preserve">სრული სია — ლექტორის „შეცდომების“ გვერდზე.</w:t>
      </w:r>
    </w:p>
    <w:p>
      <w:r>
        <w:pict>
          <v:rect style="width:0;height:1.5pt" o:hralign="center" o:hrstd="t" o:hr="t"/>
        </w:pict>
      </w:r>
    </w:p>
    <w:bookmarkEnd w:id="23"/>
    <w:bookmarkStart w:id="24" w:name="v.-დასაწყისის-ამოხსნა-რატომ-27-და-არა-18"/>
    <w:p>
      <w:pPr>
        <w:pStyle w:val="Heading1"/>
      </w:pPr>
      <w:r>
        <w:rPr>
          <w:lang w:val="ka"/>
        </w:rPr>
        <w:t xml:space="preserve">V. 🔓 დასაწყისის ამოხსნა — რატომ 27 და არა 18</w:t>
      </w:r>
    </w:p>
    <w:p>
      <w:pPr>
        <w:pStyle w:val="FirstParagraph"/>
      </w:pPr>
      <w:r>
        <w:rPr>
          <w:b/>
          <w:bCs/>
          <w:lang w:val="ka"/>
        </w:rPr>
        <w:t xml:space="preserve">1. პასუხი იმავე პუნქტშია.</w:t>
      </w:r>
      <w:r>
        <w:rPr>
          <w:lang w:val="ka"/>
        </w:rPr>
        <w:t xml:space="preserve"> </w:t>
      </w:r>
      <w:r>
        <w:rPr>
          <w:lang w:val="ka"/>
        </w:rPr>
        <w:t xml:space="preserve">17(5)-ის პირველი წინადადება ასე მთავრდება:</w:t>
      </w:r>
    </w:p>
    <w:p>
      <w:pPr>
        <w:pStyle w:val="BlockText"/>
      </w:pPr>
      <w:r>
        <w:rPr>
          <w:lang w:val="ka"/>
        </w:rPr>
        <w:t xml:space="preserve">„…</w:t>
      </w:r>
      <w:r>
        <w:rPr>
          <w:b/>
          <w:bCs/>
          <w:lang w:val="ka"/>
        </w:rPr>
        <w:t xml:space="preserve">თუ ევროპული საბჭო ერთხმად არ გადაწყვეტს ამ რაოდენობის შეცვლას</w:t>
      </w:r>
      <w:r>
        <w:rPr>
          <w:lang w:val="ka"/>
        </w:rPr>
        <w:t xml:space="preserve">.“</w:t>
      </w:r>
    </w:p>
    <w:p>
      <w:pPr>
        <w:pStyle w:val="BlockText"/>
      </w:pPr>
      <w:r>
        <w:rPr>
          <w:i/>
          <w:iCs/>
          <w:lang w:val="ka"/>
        </w:rPr>
        <w:t xml:space="preserve">ორიგინალი:</w:t>
      </w:r>
      <w:r>
        <w:rPr>
          <w:lang w:val="ka"/>
        </w:rPr>
        <w:t xml:space="preserve"> </w:t>
      </w:r>
      <w:r>
        <w:rPr>
          <w:lang w:val="ka"/>
        </w:rPr>
        <w:t xml:space="preserve">„…unless the European Council, acting unanimously, decides to alter this number.“ —</w:t>
      </w:r>
      <w:r>
        <w:rPr>
          <w:lang w:val="ka"/>
        </w:rPr>
        <w:t xml:space="preserve"> </w:t>
      </w:r>
      <w:r>
        <w:rPr>
          <w:i/>
          <w:iCs/>
          <w:lang w:val="ka"/>
        </w:rPr>
        <w:t xml:space="preserve">TEU მუხ. 17(5), PDF გვ. 24</w:t>
      </w:r>
    </w:p>
    <w:p>
      <w:pPr>
        <w:pStyle w:val="FirstParagraph"/>
      </w:pPr>
      <w:r>
        <w:rPr>
          <w:b/>
          <w:bCs/>
          <w:lang w:val="ka"/>
        </w:rPr>
        <w:t xml:space="preserve">2. ევროპულმა საბჭომ ეს გამოიყენა</w:t>
      </w:r>
      <w:r>
        <w:rPr>
          <w:lang w:val="ka"/>
        </w:rPr>
        <w:t xml:space="preserve"> </w:t>
      </w:r>
      <w:r>
        <w:rPr>
          <w:lang w:val="ka"/>
        </w:rPr>
        <w:t xml:space="preserve">— გადაწყვეტილება</w:t>
      </w:r>
      <w:r>
        <w:rPr>
          <w:lang w:val="ka"/>
        </w:rPr>
        <w:t xml:space="preserve"> </w:t>
      </w:r>
      <w:r>
        <w:rPr>
          <w:b/>
          <w:bCs/>
          <w:lang w:val="ka"/>
        </w:rPr>
        <w:t xml:space="preserve">2013/272/EU</w:t>
      </w:r>
      <w:r>
        <w:rPr>
          <w:lang w:val="ka"/>
        </w:rPr>
        <w:t xml:space="preserve"> </w:t>
      </w:r>
      <w:r>
        <w:rPr>
          <w:lang w:val="ka"/>
        </w:rPr>
        <w:t xml:space="preserve">(22.5.2013):</w:t>
      </w:r>
    </w:p>
    <w:p>
      <w:pPr>
        <w:pStyle w:val="BlockText"/>
      </w:pPr>
      <w:r>
        <w:rPr>
          <w:lang w:val="ka"/>
        </w:rPr>
        <w:t xml:space="preserve">„კომისია შედგება წევრთა რაოდენობისგან […], რომელიც</w:t>
      </w:r>
      <w:r>
        <w:rPr>
          <w:lang w:val="ka"/>
        </w:rPr>
        <w:t xml:space="preserve"> </w:t>
      </w:r>
      <w:r>
        <w:rPr>
          <w:b/>
          <w:bCs/>
          <w:lang w:val="ka"/>
        </w:rPr>
        <w:t xml:space="preserve">წევრი სახელმწიფოების რაოდენობის ტოლია</w:t>
      </w:r>
      <w:r>
        <w:rPr>
          <w:lang w:val="ka"/>
        </w:rPr>
        <w:t xml:space="preserve">.“</w:t>
      </w:r>
    </w:p>
    <w:p>
      <w:pPr>
        <w:pStyle w:val="BlockText"/>
      </w:pPr>
      <w:r>
        <w:rPr>
          <w:i/>
          <w:iCs/>
          <w:lang w:val="ka"/>
        </w:rPr>
        <w:t xml:space="preserve">ორიგინალი:</w:t>
      </w:r>
      <w:r>
        <w:rPr>
          <w:lang w:val="ka"/>
        </w:rPr>
        <w:t xml:space="preserve"> </w:t>
      </w:r>
      <w:r>
        <w:rPr>
          <w:lang w:val="ka"/>
        </w:rPr>
        <w:t xml:space="preserve">„The Commission shall consist of a number of members, including its President and the High Representative of the Union for Foreign Affairs and Security Policy, equal to the number of Member States.“ —</w:t>
      </w:r>
      <w:r>
        <w:rPr>
          <w:lang w:val="ka"/>
        </w:rPr>
        <w:t xml:space="preserve"> </w:t>
      </w:r>
      <w:r>
        <w:rPr>
          <w:i/>
          <w:iCs/>
          <w:lang w:val="ka"/>
        </w:rPr>
        <w:t xml:space="preserve">European Council Decision 2013/272/EU, Art. 1, OJ L 165, 18.6.2013, p. 98</w:t>
      </w:r>
    </w:p>
    <w:p>
      <w:pPr>
        <w:pStyle w:val="FirstParagraph"/>
      </w:pPr>
      <w:r>
        <w:rPr>
          <w:b/>
          <w:bCs/>
          <w:lang w:val="ka"/>
        </w:rPr>
        <w:t xml:space="preserve">3. რატომ?</w:t>
      </w:r>
      <w:r>
        <w:rPr>
          <w:lang w:val="ka"/>
        </w:rPr>
        <w:t xml:space="preserve"> </w:t>
      </w:r>
      <w:r>
        <w:rPr>
          <w:lang w:val="ka"/>
        </w:rPr>
        <w:t xml:space="preserve">პრეამბულა: ევროპულმა საბჭომ 2008–2009 წლებში „noted the concerns of the</w:t>
      </w:r>
      <w:r>
        <w:rPr>
          <w:lang w:val="ka"/>
        </w:rPr>
        <w:t xml:space="preserve"> </w:t>
      </w:r>
      <w:r>
        <w:rPr>
          <w:b/>
          <w:bCs/>
          <w:lang w:val="ka"/>
        </w:rPr>
        <w:t xml:space="preserve">Irish people</w:t>
      </w:r>
      <w:r>
        <w:rPr>
          <w:lang w:val="ka"/>
        </w:rPr>
        <w:t xml:space="preserve"> </w:t>
      </w:r>
      <w:r>
        <w:rPr>
          <w:lang w:val="ka"/>
        </w:rPr>
        <w:t xml:space="preserve">with respect to the Treaty of Lisbon“ და შეთანხმდა, რომ კომისია „continue to include one national of each Member State“ (აბზ. 1). ე.ი.</w:t>
      </w:r>
      <w:r>
        <w:rPr>
          <w:lang w:val="ka"/>
        </w:rPr>
        <w:t xml:space="preserve"> </w:t>
      </w:r>
      <w:r>
        <w:rPr>
          <w:b/>
          <w:bCs/>
          <w:lang w:val="ka"/>
        </w:rPr>
        <w:t xml:space="preserve">პოლიტიკური კომპრომისი</w:t>
      </w:r>
      <w:r>
        <w:rPr>
          <w:lang w:val="ka"/>
        </w:rPr>
        <w:t xml:space="preserve"> </w:t>
      </w:r>
      <w:r>
        <w:rPr>
          <w:lang w:val="ka"/>
        </w:rPr>
        <w:t xml:space="preserve">ლისაბონის რატიფიკაციისთვის.</w:t>
      </w:r>
    </w:p>
    <w:p>
      <w:pPr>
        <w:pStyle w:val="BodyText"/>
      </w:pPr>
      <w:r>
        <w:rPr>
          <w:b/>
          <w:bCs/>
          <w:lang w:val="ka"/>
        </w:rPr>
        <w:t xml:space="preserve">4. და მომავალი:</w:t>
      </w:r>
      <w:r>
        <w:rPr>
          <w:lang w:val="ka"/>
        </w:rPr>
        <w:t xml:space="preserve"> </w:t>
      </w:r>
      <w:r>
        <w:rPr>
          <w:lang w:val="ka"/>
        </w:rPr>
        <w:t xml:space="preserve">მუხ. 2 — გადაწყვეტილება უნდა გადაისინჯოს</w:t>
      </w:r>
      <w:r>
        <w:rPr>
          <w:lang w:val="ka"/>
        </w:rPr>
        <w:t xml:space="preserve"> </w:t>
      </w:r>
      <w:r>
        <w:rPr>
          <w:b/>
          <w:bCs/>
          <w:lang w:val="ka"/>
        </w:rPr>
        <w:t xml:space="preserve">30-ე</w:t>
      </w:r>
      <w:r>
        <w:rPr>
          <w:lang w:val="ka"/>
        </w:rPr>
        <w:t xml:space="preserve"> </w:t>
      </w:r>
      <w:r>
        <w:rPr>
          <w:lang w:val="ka"/>
        </w:rPr>
        <w:t xml:space="preserve">წევრის მიღების შემდეგ პირველი კომისიის დანიშვნამდე (ან უფრო ადრე). კვირა 3-ის გაფართოება</w:t>
      </w:r>
      <w:r>
        <w:rPr>
          <w:lang w:val="ka"/>
        </w:rPr>
        <w:t xml:space="preserve"> </w:t>
      </w:r>
      <w:r>
        <w:rPr>
          <w:b/>
          <w:bCs/>
          <w:lang w:val="ka"/>
        </w:rPr>
        <w:t xml:space="preserve">აქ</w:t>
      </w:r>
      <w:r>
        <w:rPr>
          <w:lang w:val="ka"/>
        </w:rPr>
        <w:t xml:space="preserve"> </w:t>
      </w:r>
      <w:r>
        <w:rPr>
          <w:lang w:val="ka"/>
        </w:rPr>
        <w:t xml:space="preserve">უერთდება ორგანოებს: 30+ კომისარი — ეფექტიანობის კითხვაა.</w:t>
      </w:r>
    </w:p>
    <w:p>
      <w:pPr>
        <w:pStyle w:val="BlockText"/>
      </w:pPr>
      <w:r>
        <w:rPr>
          <w:lang w:val="ka"/>
        </w:rPr>
        <w:t xml:space="preserve">✅</w:t>
      </w:r>
      <w:r>
        <w:rPr>
          <w:lang w:val="ka"/>
        </w:rPr>
        <w:t xml:space="preserve"> </w:t>
      </w:r>
      <w:r>
        <w:rPr>
          <w:b/>
          <w:bCs/>
          <w:lang w:val="ka"/>
        </w:rPr>
        <w:t xml:space="preserve">პასუხი:</w:t>
      </w:r>
      <w:r>
        <w:rPr>
          <w:lang w:val="ka"/>
        </w:rPr>
        <w:t xml:space="preserve"> </w:t>
      </w:r>
      <w:r>
        <w:rPr>
          <w:lang w:val="ka"/>
        </w:rPr>
        <w:t xml:space="preserve">ხელშეკრულება</w:t>
      </w:r>
      <w:r>
        <w:rPr>
          <w:lang w:val="ka"/>
        </w:rPr>
        <w:t xml:space="preserve"> </w:t>
      </w:r>
      <w:r>
        <w:rPr>
          <w:b/>
          <w:bCs/>
          <w:lang w:val="ka"/>
        </w:rPr>
        <w:t xml:space="preserve">არ</w:t>
      </w:r>
      <w:r>
        <w:rPr>
          <w:lang w:val="ka"/>
        </w:rPr>
        <w:t xml:space="preserve"> </w:t>
      </w:r>
      <w:r>
        <w:rPr>
          <w:lang w:val="ka"/>
        </w:rPr>
        <w:t xml:space="preserve">ირღვევა — ის თავადვე აძლევს ევროპულ საბჭოს რიცხვის შეცვლის უფლებას.</w:t>
      </w:r>
      <w:r>
        <w:rPr>
          <w:lang w:val="ka"/>
        </w:rPr>
        <w:t xml:space="preserve"> </w:t>
      </w:r>
      <w:r>
        <w:rPr>
          <w:b/>
          <w:bCs/>
          <w:lang w:val="ka"/>
        </w:rPr>
        <w:t xml:space="preserve">მეთოდოლოგიური გაკვეთილი:</w:t>
      </w:r>
      <w:r>
        <w:rPr>
          <w:lang w:val="ka"/>
        </w:rPr>
        <w:t xml:space="preserve"> </w:t>
      </w:r>
      <w:r>
        <w:rPr>
          <w:lang w:val="ka"/>
        </w:rPr>
        <w:t xml:space="preserve">წაიკითხე პუნქტი</w:t>
      </w:r>
      <w:r>
        <w:rPr>
          <w:lang w:val="ka"/>
        </w:rPr>
        <w:t xml:space="preserve"> </w:t>
      </w:r>
      <w:r>
        <w:rPr>
          <w:b/>
          <w:bCs/>
          <w:lang w:val="ka"/>
        </w:rPr>
        <w:t xml:space="preserve">ბოლომდე</w:t>
      </w:r>
      <w:r>
        <w:rPr>
          <w:lang w:val="ka"/>
        </w:rPr>
        <w:t xml:space="preserve"> </w:t>
      </w:r>
      <w:r>
        <w:rPr>
          <w:lang w:val="ka"/>
        </w:rPr>
        <w:t xml:space="preserve">— და შემდეგ მოძებნე, ხომ არ გამოიყენა ვინმემ ამ პუნქტით მინიჭებული უფლება (მეორადი აქტი, OJ).</w:t>
      </w:r>
    </w:p>
    <w:bookmarkEnd w:id="24"/>
    <w:p>
      <w:r>
        <w:pict>
          <v:rect style="width:0;height:1.5pt" o:hralign="center" o:hrstd="t" o:hr="t"/>
        </w:pict>
      </w:r>
    </w:p>
    <w:bookmarkStart w:id="25" w:name="გადამოწმების-კითხვები"/>
    <w:p>
      <w:pPr>
        <w:pStyle w:val="Heading1"/>
      </w:pPr>
      <w:r>
        <w:rPr>
          <w:lang w:val="ka"/>
        </w:rPr>
        <w:t xml:space="preserve">გადამოწმების კითხვები</w:t>
      </w:r>
    </w:p>
    <w:p>
      <w:pPr>
        <w:pStyle w:val="Compact"/>
        <w:numPr>
          <w:ilvl w:val="0"/>
          <w:numId w:val="1002"/>
        </w:numPr>
      </w:pPr>
      <w:r>
        <w:rPr>
          <w:lang w:val="ka"/>
        </w:rPr>
        <w:t xml:space="preserve">რატომ არ ჯდება ევროკავშირი ხელისუფლების დანაწილების კლასიკურ სქემაში? რა ცნებით ანაცვლებს მას ხელშეკრულება (TEU 13(2))?</w:t>
      </w:r>
    </w:p>
    <w:p>
      <w:pPr>
        <w:pStyle w:val="Compact"/>
        <w:numPr>
          <w:ilvl w:val="0"/>
          <w:numId w:val="1002"/>
        </w:numPr>
      </w:pPr>
      <w:r>
        <w:rPr>
          <w:lang w:val="ka"/>
        </w:rPr>
        <w:t xml:space="preserve">TEU 10(2)-ის მიხედვით, რომელ ორგანოებში არიან წარმოდგენილი</w:t>
      </w:r>
      <w:r>
        <w:rPr>
          <w:lang w:val="ka"/>
        </w:rPr>
        <w:t xml:space="preserve"> </w:t>
      </w:r>
      <w:r>
        <w:rPr>
          <w:b/>
          <w:bCs/>
          <w:lang w:val="ka"/>
        </w:rPr>
        <w:t xml:space="preserve">მოქალაქეები</w:t>
      </w:r>
      <w:r>
        <w:rPr>
          <w:lang w:val="ka"/>
        </w:rPr>
        <w:t xml:space="preserve"> </w:t>
      </w:r>
      <w:r>
        <w:rPr>
          <w:lang w:val="ka"/>
        </w:rPr>
        <w:t xml:space="preserve">და რომელში —</w:t>
      </w:r>
      <w:r>
        <w:rPr>
          <w:lang w:val="ka"/>
        </w:rPr>
        <w:t xml:space="preserve"> </w:t>
      </w:r>
      <w:r>
        <w:rPr>
          <w:b/>
          <w:bCs/>
          <w:lang w:val="ka"/>
        </w:rPr>
        <w:t xml:space="preserve">სახელმწიფოები</w:t>
      </w:r>
      <w:r>
        <w:rPr>
          <w:lang w:val="ka"/>
        </w:rPr>
        <w:t xml:space="preserve">?</w:t>
      </w:r>
    </w:p>
    <w:p>
      <w:pPr>
        <w:pStyle w:val="Compact"/>
        <w:numPr>
          <w:ilvl w:val="0"/>
          <w:numId w:val="1002"/>
        </w:numPr>
      </w:pPr>
      <w:r>
        <w:rPr>
          <w:lang w:val="ka"/>
        </w:rPr>
        <w:t xml:space="preserve">დაასახელეთ ევროპული საბჭოსა და საბჭოს</w:t>
      </w:r>
      <w:r>
        <w:rPr>
          <w:lang w:val="ka"/>
        </w:rPr>
        <w:t xml:space="preserve"> </w:t>
      </w:r>
      <w:r>
        <w:rPr>
          <w:b/>
          <w:bCs/>
          <w:lang w:val="ka"/>
        </w:rPr>
        <w:t xml:space="preserve">სამი</w:t>
      </w:r>
      <w:r>
        <w:rPr>
          <w:lang w:val="ka"/>
        </w:rPr>
        <w:t xml:space="preserve"> </w:t>
      </w:r>
      <w:r>
        <w:rPr>
          <w:lang w:val="ka"/>
        </w:rPr>
        <w:t xml:space="preserve">განსხვავება (შემადგენლობა, ფუნქცია, ხმის მიცემა).</w:t>
      </w:r>
    </w:p>
    <w:p>
      <w:pPr>
        <w:pStyle w:val="Compact"/>
        <w:numPr>
          <w:ilvl w:val="0"/>
          <w:numId w:val="1002"/>
        </w:numPr>
      </w:pPr>
      <w:r>
        <w:rPr>
          <w:lang w:val="ka"/>
        </w:rPr>
        <w:t xml:space="preserve">კონსენსუსი და ერთხმადობა — რა განსხვავებაა?</w:t>
      </w:r>
    </w:p>
    <w:p>
      <w:pPr>
        <w:pStyle w:val="Compact"/>
        <w:numPr>
          <w:ilvl w:val="0"/>
          <w:numId w:val="1002"/>
        </w:numPr>
      </w:pPr>
      <w:r>
        <w:rPr>
          <w:lang w:val="ka"/>
        </w:rPr>
        <w:t xml:space="preserve">რას ნიშნავს კომისიის „ინიციატივის მონოპოლია“? რა ბერკეტი აქვს ევროპარლამენტს, საბჭოს და მოქალაქეებს?</w:t>
      </w:r>
    </w:p>
    <w:p>
      <w:pPr>
        <w:pStyle w:val="Compact"/>
        <w:numPr>
          <w:ilvl w:val="0"/>
          <w:numId w:val="1002"/>
        </w:numPr>
      </w:pPr>
      <w:r>
        <w:rPr>
          <w:lang w:val="ka"/>
        </w:rPr>
        <w:t xml:space="preserve">ვინ ირჩევს კომისიის პრეზიდენტს და რა უმრავლესობით? რა როლი აქვს ევროპულ საბჭოს?</w:t>
      </w:r>
    </w:p>
    <w:p>
      <w:pPr>
        <w:pStyle w:val="Compact"/>
        <w:numPr>
          <w:ilvl w:val="0"/>
          <w:numId w:val="1002"/>
        </w:numPr>
      </w:pPr>
      <w:r>
        <w:rPr>
          <w:lang w:val="ka"/>
        </w:rPr>
        <w:t xml:space="preserve">TFEU 294: ევროპარლამენტი მეორე მოსმენაზე 3 თვე დუმს. რა ხდება?</w:t>
      </w:r>
    </w:p>
    <w:p>
      <w:pPr>
        <w:pStyle w:val="Compact"/>
        <w:numPr>
          <w:ilvl w:val="0"/>
          <w:numId w:val="1002"/>
        </w:numPr>
      </w:pPr>
      <w:r>
        <w:rPr>
          <w:lang w:val="ka"/>
        </w:rPr>
        <w:t xml:space="preserve">რა განსხვავებაა</w:t>
      </w:r>
      <w:r>
        <w:rPr>
          <w:lang w:val="ka"/>
        </w:rPr>
        <w:t xml:space="preserve"> </w:t>
      </w:r>
      <w:r>
        <w:rPr>
          <w:b/>
          <w:bCs/>
          <w:lang w:val="ka"/>
        </w:rPr>
        <w:t xml:space="preserve">თანხმობასა</w:t>
      </w:r>
      <w:r>
        <w:rPr>
          <w:lang w:val="ka"/>
        </w:rPr>
        <w:t xml:space="preserve"> </w:t>
      </w:r>
      <w:r>
        <w:rPr>
          <w:lang w:val="ka"/>
        </w:rPr>
        <w:t xml:space="preserve">და</w:t>
      </w:r>
      <w:r>
        <w:rPr>
          <w:lang w:val="ka"/>
        </w:rPr>
        <w:t xml:space="preserve"> </w:t>
      </w:r>
      <w:r>
        <w:rPr>
          <w:b/>
          <w:bCs/>
          <w:lang w:val="ka"/>
        </w:rPr>
        <w:t xml:space="preserve">კონსულტაციას</w:t>
      </w:r>
      <w:r>
        <w:rPr>
          <w:lang w:val="ka"/>
        </w:rPr>
        <w:t xml:space="preserve"> </w:t>
      </w:r>
      <w:r>
        <w:rPr>
          <w:lang w:val="ka"/>
        </w:rPr>
        <w:t xml:space="preserve">შორის? რა შედეგი აქვს კონსულტაციის დარღვევას (</w:t>
      </w:r>
      <w:r>
        <w:rPr>
          <w:i/>
          <w:iCs/>
          <w:lang w:val="ka"/>
        </w:rPr>
        <w:t xml:space="preserve">Isoglucose</w:t>
      </w:r>
      <w:r>
        <w:rPr>
          <w:lang w:val="ka"/>
        </w:rPr>
        <w:t xml:space="preserve">)?</w:t>
      </w:r>
    </w:p>
    <w:p>
      <w:pPr>
        <w:pStyle w:val="Compact"/>
        <w:numPr>
          <w:ilvl w:val="0"/>
          <w:numId w:val="1002"/>
        </w:numPr>
      </w:pPr>
      <w:r>
        <w:rPr>
          <w:lang w:val="ka"/>
        </w:rPr>
        <w:t xml:space="preserve">იოანინას კომპრომისი ვეტოა? რას ამბობს დეკლარაცია №7?</w:t>
      </w:r>
    </w:p>
    <w:p>
      <w:pPr>
        <w:pStyle w:val="Compact"/>
        <w:numPr>
          <w:ilvl w:val="0"/>
          <w:numId w:val="1002"/>
        </w:numPr>
      </w:pPr>
      <w:r>
        <w:rPr>
          <w:lang w:val="ka"/>
        </w:rPr>
        <w:t xml:space="preserve">რატომ ჰყავს კომისიას 27 წევრი, თუ TEU 17(5) „ორ მესამედს“ ამბობს?</w:t>
      </w:r>
    </w:p>
    <w:p>
      <w:r>
        <w:pict>
          <v:rect style="width:0;height:1.5pt" o:hralign="center" o:hrstd="t" o:hr="t"/>
        </w:pict>
      </w:r>
    </w:p>
    <w:bookmarkEnd w:id="25"/>
    <w:bookmarkStart w:id="26" w:name="წყაროები"/>
    <w:p>
      <w:pPr>
        <w:pStyle w:val="Heading1"/>
      </w:pPr>
      <w:r>
        <w:rPr>
          <w:lang w:val="ka"/>
        </w:rPr>
        <w:t xml:space="preserve">წყაროები</w:t>
      </w:r>
    </w:p>
    <w:p>
      <w:pPr>
        <w:pStyle w:val="FirstParagraph"/>
      </w:pPr>
      <w:r>
        <w:rPr>
          <w:b/>
          <w:bCs/>
          <w:lang w:val="ka"/>
        </w:rPr>
        <w:t xml:space="preserve">პირველწყაროები (ღია, ოფიციალური):</w:t>
      </w:r>
    </w:p>
    <w:p>
      <w:pPr>
        <w:pStyle w:val="Compact"/>
        <w:numPr>
          <w:ilvl w:val="0"/>
          <w:numId w:val="1003"/>
        </w:numPr>
      </w:pPr>
      <w:r>
        <w:rPr>
          <w:lang w:val="ka"/>
        </w:rPr>
        <w:t xml:space="preserve">TEU / TFEU — consolidated versions (EUR-Lex CELEX 02016ME/TXT-20250315, consolidated</w:t>
      </w:r>
      <w:r>
        <w:rPr>
          <w:lang w:val="ka"/>
        </w:rPr>
        <w:t xml:space="preserve"> </w:t>
      </w:r>
      <w:r>
        <w:rPr>
          <w:b/>
          <w:bCs/>
          <w:lang w:val="ka"/>
        </w:rPr>
        <w:t xml:space="preserve">15.03.2025</w:t>
      </w:r>
      <w:r>
        <w:rPr>
          <w:lang w:val="ka"/>
        </w:rPr>
        <w:t xml:space="preserve">) — TEU მუხ. 10, 11(4), 13–18, 47, 48; TFEU მუხ. 19, 22, 24–25, 43, 223–250, 263, 289–294; ოქმი №6; დეკლარაცია №7.</w:t>
      </w:r>
    </w:p>
    <w:p>
      <w:pPr>
        <w:pStyle w:val="Compact"/>
        <w:numPr>
          <w:ilvl w:val="0"/>
          <w:numId w:val="1003"/>
        </w:numPr>
      </w:pPr>
      <w:r>
        <w:rPr>
          <w:lang w:val="ka"/>
        </w:rPr>
        <w:t xml:space="preserve">CJEU, Case 138/79,</w:t>
      </w:r>
      <w:r>
        <w:rPr>
          <w:lang w:val="ka"/>
        </w:rPr>
        <w:t xml:space="preserve"> </w:t>
      </w:r>
      <w:r>
        <w:rPr>
          <w:i/>
          <w:iCs/>
          <w:lang w:val="ka"/>
        </w:rPr>
        <w:t xml:space="preserve">SA Roquette Frères v Council</w:t>
      </w:r>
      <w:r>
        <w:rPr>
          <w:lang w:val="ka"/>
        </w:rPr>
        <w:t xml:space="preserve">, 29 October 1980, ECLI:EU:C:1980:249.</w:t>
      </w:r>
    </w:p>
    <w:p>
      <w:pPr>
        <w:pStyle w:val="Compact"/>
        <w:numPr>
          <w:ilvl w:val="0"/>
          <w:numId w:val="1003"/>
        </w:numPr>
      </w:pPr>
      <w:r>
        <w:rPr>
          <w:lang w:val="ka"/>
        </w:rPr>
        <w:t xml:space="preserve">European Council Decision 2013/272/EU of 22 May 2013 concerning the number of members of the European Commission (OJ L 165, 18.6.2013, p. 98).</w:t>
      </w:r>
    </w:p>
    <w:p>
      <w:pPr>
        <w:pStyle w:val="Compact"/>
        <w:numPr>
          <w:ilvl w:val="0"/>
          <w:numId w:val="1003"/>
        </w:numPr>
      </w:pPr>
      <w:r>
        <w:rPr>
          <w:lang w:val="ka"/>
        </w:rPr>
        <w:t xml:space="preserve">European Council Decision (EU) 2023/2061 of 22 September 2023 establishing the composition of the European Parliament (OJ L 238, 27.9.2023, p. 114).</w:t>
      </w:r>
    </w:p>
    <w:p>
      <w:pPr>
        <w:pStyle w:val="Compact"/>
        <w:numPr>
          <w:ilvl w:val="0"/>
          <w:numId w:val="1003"/>
        </w:numPr>
      </w:pPr>
      <w:r>
        <w:rPr>
          <w:lang w:val="ka"/>
        </w:rPr>
        <w:t xml:space="preserve">European Council Decision 2009/881/EU of 1 December 2009 on the exercise of the Presidency of the Council (OJ L 315, 2.12.2009, p. 50).</w:t>
      </w:r>
    </w:p>
    <w:p>
      <w:pPr>
        <w:pStyle w:val="Compact"/>
        <w:numPr>
          <w:ilvl w:val="0"/>
          <w:numId w:val="1003"/>
        </w:numPr>
      </w:pPr>
      <w:r>
        <w:rPr>
          <w:lang w:val="ka"/>
        </w:rPr>
        <w:t xml:space="preserve">Council Decision 2009/878/EU of 1 December 2009 establishing the list of Council configurations (OJ L 315, 2.12.2009, p. 46).</w:t>
      </w:r>
    </w:p>
    <w:p>
      <w:pPr>
        <w:pStyle w:val="Compact"/>
        <w:numPr>
          <w:ilvl w:val="0"/>
          <w:numId w:val="1003"/>
        </w:numPr>
      </w:pPr>
      <w:r>
        <w:rPr>
          <w:lang w:val="ka"/>
        </w:rPr>
        <w:t xml:space="preserve">Council Decision (EU) 2016/1316 of 26 July 2016 amending Decision 2009/908/EU (OJ L 208, 2.8.2016, p. 42).</w:t>
      </w:r>
    </w:p>
    <w:p>
      <w:pPr>
        <w:pStyle w:val="Compact"/>
        <w:numPr>
          <w:ilvl w:val="0"/>
          <w:numId w:val="1003"/>
        </w:numPr>
      </w:pPr>
      <w:r>
        <w:rPr>
          <w:lang w:val="ka"/>
        </w:rPr>
        <w:t xml:space="preserve">Statute of the Council of Europe, London, 5 May 1949 (UNTS vol. 87, No. 1168).</w:t>
      </w:r>
    </w:p>
    <w:p>
      <w:pPr>
        <w:pStyle w:val="FirstParagraph"/>
      </w:pPr>
      <w:r>
        <w:rPr>
          <w:b/>
          <w:bCs/>
          <w:lang w:val="ka"/>
        </w:rPr>
        <w:t xml:space="preserve">ღია სახელმძღვანელო:</w:t>
      </w:r>
    </w:p>
    <w:p>
      <w:pPr>
        <w:pStyle w:val="Compact"/>
        <w:numPr>
          <w:ilvl w:val="0"/>
          <w:numId w:val="1004"/>
        </w:numPr>
      </w:pPr>
      <w:r>
        <w:rPr>
          <w:lang w:val="ka"/>
        </w:rPr>
        <w:t xml:space="preserve">K.-D. Borchardt,</w:t>
      </w:r>
      <w:r>
        <w:rPr>
          <w:lang w:val="ka"/>
        </w:rPr>
        <w:t xml:space="preserve"> </w:t>
      </w:r>
      <w:r>
        <w:rPr>
          <w:i/>
          <w:iCs/>
          <w:lang w:val="ka"/>
        </w:rPr>
        <w:t xml:space="preserve">The ABC of EU Law</w:t>
      </w:r>
      <w:r>
        <w:rPr>
          <w:lang w:val="ka"/>
        </w:rPr>
        <w:t xml:space="preserve"> </w:t>
      </w:r>
      <w:r>
        <w:rPr>
          <w:lang w:val="ka"/>
        </w:rPr>
        <w:t xml:space="preserve">(European Commission, 2023), doi:10.2775/745544 — CC BY 4.0.</w:t>
      </w:r>
    </w:p>
    <w:p>
      <w:pPr>
        <w:pStyle w:val="FirstParagraph"/>
      </w:pPr>
      <w:r>
        <w:rPr>
          <w:b/>
          <w:bCs/>
          <w:lang w:val="ka"/>
        </w:rPr>
        <w:t xml:space="preserve">სილაბუსის ლიტერატურა</w:t>
      </w:r>
      <w:r>
        <w:rPr>
          <w:lang w:val="ka"/>
        </w:rPr>
        <w:t xml:space="preserve"> </w:t>
      </w:r>
      <w:r>
        <w:rPr>
          <w:i/>
          <w:iCs/>
          <w:lang w:val="ka"/>
        </w:rPr>
        <w:t xml:space="preserve">(საავტორო უფლებით დაცული — ხელმისაწვდომია ბიბლიოთეკაში)</w:t>
      </w:r>
      <w:r>
        <w:rPr>
          <w:lang w:val="ka"/>
        </w:rPr>
        <w:t xml:space="preserve">:</w:t>
      </w:r>
    </w:p>
    <w:p>
      <w:pPr>
        <w:pStyle w:val="Compact"/>
        <w:numPr>
          <w:ilvl w:val="0"/>
          <w:numId w:val="1005"/>
        </w:numPr>
      </w:pPr>
      <w:r>
        <w:rPr>
          <w:lang w:val="ka"/>
        </w:rPr>
        <w:t xml:space="preserve">გ. გაბრიჩიძე,</w:t>
      </w:r>
      <w:r>
        <w:rPr>
          <w:lang w:val="ka"/>
        </w:rPr>
        <w:t xml:space="preserve"> </w:t>
      </w:r>
      <w:r>
        <w:rPr>
          <w:i/>
          <w:iCs/>
          <w:lang w:val="ka"/>
        </w:rPr>
        <w:t xml:space="preserve">ევროპის კავშირის სამართალი</w:t>
      </w:r>
      <w:r>
        <w:rPr>
          <w:lang w:val="ka"/>
        </w:rPr>
        <w:t xml:space="preserve">, მე-2 გამოცემა (2023), გვ. 36–67 (თავი V.I.1–8 — ორგანოები) და 128–135 (თავი IX — საკანონმდებლო პროცედურები).</w:t>
      </w:r>
    </w:p>
    <w:p>
      <w:pPr>
        <w:pStyle w:val="Compact"/>
        <w:numPr>
          <w:ilvl w:val="0"/>
          <w:numId w:val="1005"/>
        </w:numPr>
      </w:pPr>
      <w:r>
        <w:rPr>
          <w:lang w:val="ka"/>
        </w:rPr>
        <w:t xml:space="preserve">გ. მირიანაშვილი,</w:t>
      </w:r>
      <w:r>
        <w:rPr>
          <w:lang w:val="ka"/>
        </w:rPr>
        <w:t xml:space="preserve"> </w:t>
      </w:r>
      <w:r>
        <w:rPr>
          <w:i/>
          <w:iCs/>
          <w:lang w:val="ka"/>
        </w:rPr>
        <w:t xml:space="preserve">ევროპის კავშირის სამართალი</w:t>
      </w:r>
      <w:r>
        <w:rPr>
          <w:lang w:val="ka"/>
        </w:rPr>
        <w:t xml:space="preserve">, ნაწილი I (2022) (რეკომენდებული).</w:t>
      </w:r>
    </w:p>
    <w:bookmarkEnd w:id="2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ka"/>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4" Target="/decision-making" TargetMode="External" /><Relationship Type="http://schemas.openxmlformats.org/officeDocument/2006/relationships/hyperlink" Id="rId9" Target="/glossary" TargetMode="External" /></Relationships>
</file>

<file path=word/_rels/footnotes.xml.rels><?xml version="1.0" encoding="UTF-8"?><Relationships xmlns="http://schemas.openxmlformats.org/package/2006/relationships"><Relationship Type="http://schemas.openxmlformats.org/officeDocument/2006/relationships/hyperlink" Id="rId14" Target="/decision-making" TargetMode="External" /><Relationship Type="http://schemas.openxmlformats.org/officeDocument/2006/relationships/hyperlink" Id="rId9" Target="/glossary"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ორი კანონმდებელი, ერთი ინიციატორი</dc:title>
  <dc:creator>გიორგი კობერიძე · ილიას სახელმწიფო უნივერსიტეტი</dc:creator>
  <dc:language>ka</dc:language>
  <cp:keywords/>
  <dcterms:created xsi:type="dcterms:W3CDTF">2026-10-09T06:37:37Z</dcterms:created>
  <dcterms:modified xsi:type="dcterms:W3CDTF">2026-10-09T06:37:37Z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ევროკავშირის სამართალი · კვირა 4 · დარიგება — საკანონმდებლო და აღმასრულებელი ორგანოები; საკანონმდებლო პროცედურები</vt:lpwstr>
  </property>
</Properties>
</file>